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bookmarkStart w:id="9" w:name="_GoBack"/>
      <w:bookmarkEnd w:id="9"/>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adjustRightInd w:val="0"/>
        <w:snapToGrid w:val="0"/>
        <w:spacing w:line="288" w:lineRule="auto"/>
        <w:jc w:val="center"/>
        <w:outlineLvl w:val="0"/>
        <w:rPr>
          <w:rFonts w:eastAsia="华文仿宋"/>
          <w:color w:val="auto"/>
          <w:kern w:val="44"/>
          <w:sz w:val="44"/>
          <w:szCs w:val="44"/>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spacing w:line="360" w:lineRule="auto"/>
        <w:ind w:firstLine="1040"/>
        <w:rPr>
          <w:rFonts w:eastAsia="仿宋"/>
          <w:color w:val="auto"/>
          <w:sz w:val="44"/>
          <w:szCs w:val="44"/>
        </w:rPr>
      </w:pPr>
    </w:p>
    <w:p>
      <w:pPr>
        <w:adjustRightInd w:val="0"/>
        <w:snapToGrid w:val="0"/>
        <w:spacing w:line="360" w:lineRule="auto"/>
        <w:ind w:left="1800" w:hanging="1600" w:hangingChars="500"/>
        <w:rPr>
          <w:rFonts w:hint="default" w:eastAsia="仿宋_GB2312"/>
          <w:color w:val="auto"/>
          <w:sz w:val="32"/>
          <w:szCs w:val="32"/>
          <w:u w:val="single"/>
          <w:lang w:val="en-US"/>
        </w:rPr>
      </w:pPr>
      <w:r>
        <w:rPr>
          <w:rFonts w:eastAsia="仿宋_GB2312"/>
          <w:color w:val="auto"/>
          <w:sz w:val="32"/>
          <w:szCs w:val="32"/>
        </w:rPr>
        <w:t>项目名称：</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lang w:eastAsia="zh-CN"/>
        </w:rPr>
        <w:t>陕西绿能先导科技有限责任公司LED光电玻璃项目</w:t>
      </w:r>
      <w:r>
        <w:rPr>
          <w:rFonts w:hint="eastAsia" w:eastAsia="仿宋_GB2312"/>
          <w:color w:val="auto"/>
          <w:sz w:val="32"/>
          <w:szCs w:val="32"/>
          <w:u w:val="single"/>
          <w:lang w:val="en-US" w:eastAsia="zh-CN"/>
        </w:rPr>
        <w:t xml:space="preserve">  </w:t>
      </w:r>
    </w:p>
    <w:p>
      <w:pPr>
        <w:adjustRightInd w:val="0"/>
        <w:snapToGrid w:val="0"/>
        <w:spacing w:line="360" w:lineRule="auto"/>
        <w:rPr>
          <w:rFonts w:eastAsia="仿宋_GB2312"/>
          <w:color w:val="auto"/>
          <w:sz w:val="32"/>
          <w:szCs w:val="32"/>
          <w:u w:val="single"/>
        </w:rPr>
      </w:pPr>
      <w:r>
        <w:rPr>
          <w:rFonts w:eastAsia="仿宋_GB2312"/>
          <w:color w:val="auto"/>
          <w:sz w:val="32"/>
          <w:szCs w:val="32"/>
        </w:rPr>
        <w:t>建设单位（盖章）：</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eastAsia="zh-CN"/>
        </w:rPr>
        <w:t>陕西绿能先导科技有限责任公司</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eastAsia="仿宋_GB2312"/>
          <w:color w:val="auto"/>
          <w:sz w:val="32"/>
          <w:szCs w:val="32"/>
          <w:u w:val="single"/>
        </w:rPr>
        <w:t xml:space="preserve"> </w:t>
      </w:r>
    </w:p>
    <w:p>
      <w:pPr>
        <w:adjustRightInd w:val="0"/>
        <w:snapToGrid w:val="0"/>
        <w:spacing w:line="360" w:lineRule="auto"/>
        <w:rPr>
          <w:rFonts w:eastAsia="仿宋_GB2312"/>
          <w:color w:val="auto"/>
          <w:sz w:val="32"/>
          <w:szCs w:val="32"/>
          <w:u w:val="single"/>
        </w:rPr>
      </w:pPr>
      <w:r>
        <w:rPr>
          <w:rFonts w:eastAsia="仿宋_GB2312"/>
          <w:color w:val="auto"/>
          <w:sz w:val="32"/>
          <w:szCs w:val="32"/>
        </w:rPr>
        <w:t>编制日期：</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202</w:t>
      </w:r>
      <w:r>
        <w:rPr>
          <w:rFonts w:hint="eastAsia" w:eastAsia="仿宋_GB2312"/>
          <w:color w:val="auto"/>
          <w:sz w:val="32"/>
          <w:szCs w:val="32"/>
          <w:u w:val="single"/>
          <w:lang w:val="en-US" w:eastAsia="zh-CN"/>
        </w:rPr>
        <w:t>4</w:t>
      </w:r>
      <w:r>
        <w:rPr>
          <w:rFonts w:eastAsia="仿宋_GB2312"/>
          <w:color w:val="auto"/>
          <w:sz w:val="32"/>
          <w:szCs w:val="32"/>
          <w:u w:val="single"/>
        </w:rPr>
        <w:t>年</w:t>
      </w:r>
      <w:r>
        <w:rPr>
          <w:rFonts w:hint="eastAsia" w:eastAsia="仿宋_GB2312"/>
          <w:color w:val="auto"/>
          <w:sz w:val="32"/>
          <w:szCs w:val="32"/>
          <w:u w:val="single"/>
          <w:lang w:val="en-US" w:eastAsia="zh-CN"/>
        </w:rPr>
        <w:t>6</w:t>
      </w:r>
      <w:r>
        <w:rPr>
          <w:rFonts w:eastAsia="仿宋_GB2312"/>
          <w:color w:val="auto"/>
          <w:sz w:val="32"/>
          <w:szCs w:val="32"/>
          <w:u w:val="single"/>
        </w:rPr>
        <w:t xml:space="preserve">月               </w:t>
      </w:r>
    </w:p>
    <w:p>
      <w:pPr>
        <w:adjustRightInd w:val="0"/>
        <w:snapToGrid w:val="0"/>
        <w:spacing w:line="288" w:lineRule="auto"/>
        <w:ind w:firstLine="1040"/>
        <w:rPr>
          <w:rFonts w:eastAsia="仿宋_GB2312"/>
          <w:color w:val="auto"/>
          <w:sz w:val="36"/>
          <w:szCs w:val="36"/>
          <w:u w:val="single"/>
        </w:rPr>
      </w:pPr>
      <w:bookmarkStart w:id="0"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0"/>
    <w:p>
      <w:pPr>
        <w:adjustRightInd w:val="0"/>
        <w:snapToGrid w:val="0"/>
        <w:spacing w:line="288" w:lineRule="auto"/>
        <w:jc w:val="center"/>
        <w:rPr>
          <w:rFonts w:eastAsia="楷体_GB2312"/>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eastAsia="楷体_GB2312"/>
          <w:color w:val="auto"/>
          <w:sz w:val="36"/>
          <w:szCs w:val="36"/>
        </w:rPr>
        <w:t>中华人民共和国生态环境部制</w:t>
      </w:r>
    </w:p>
    <w:p>
      <w:pPr>
        <w:pStyle w:val="2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75"/>
        <w:gridCol w:w="1181"/>
        <w:gridCol w:w="2039"/>
        <w:gridCol w:w="1900"/>
        <w:gridCol w:w="30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7014" w:type="dxa"/>
            <w:gridSpan w:val="3"/>
            <w:vAlign w:val="center"/>
          </w:tcPr>
          <w:p>
            <w:pPr>
              <w:adjustRightInd w:val="0"/>
              <w:snapToGrid w:val="0"/>
              <w:jc w:val="center"/>
              <w:rPr>
                <w:color w:val="auto"/>
                <w:sz w:val="24"/>
              </w:rPr>
            </w:pPr>
            <w:r>
              <w:rPr>
                <w:rFonts w:hint="eastAsia"/>
                <w:color w:val="auto"/>
                <w:sz w:val="24"/>
                <w:lang w:eastAsia="zh-CN"/>
              </w:rPr>
              <w:t>陕西绿能先导科技有限责任公司LED光电玻璃项目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7014" w:type="dxa"/>
            <w:gridSpan w:val="3"/>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2404-611206-04-05-206881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建设单位联系人</w:t>
            </w:r>
          </w:p>
        </w:tc>
        <w:tc>
          <w:tcPr>
            <w:tcW w:w="2039" w:type="dxa"/>
            <w:vAlign w:val="center"/>
          </w:tcPr>
          <w:p>
            <w:pPr>
              <w:adjustRightInd w:val="0"/>
              <w:snapToGrid w:val="0"/>
              <w:jc w:val="center"/>
              <w:rPr>
                <w:rFonts w:hint="default" w:eastAsia="宋体"/>
                <w:color w:val="auto"/>
                <w:sz w:val="24"/>
                <w:highlight w:val="none"/>
                <w:lang w:val="en-US" w:eastAsia="zh-CN"/>
              </w:rPr>
            </w:pPr>
            <w:r>
              <w:rPr>
                <w:rFonts w:hint="default" w:eastAsia="宋体"/>
                <w:color w:val="auto"/>
                <w:sz w:val="24"/>
                <w:highlight w:val="none"/>
                <w:lang w:val="en-US" w:eastAsia="zh-CN"/>
              </w:rPr>
              <w:t>张佳</w:t>
            </w:r>
          </w:p>
        </w:tc>
        <w:tc>
          <w:tcPr>
            <w:tcW w:w="1900" w:type="dxa"/>
            <w:vAlign w:val="center"/>
          </w:tcPr>
          <w:p>
            <w:pPr>
              <w:adjustRightInd w:val="0"/>
              <w:snapToGrid w:val="0"/>
              <w:jc w:val="center"/>
              <w:rPr>
                <w:color w:val="auto"/>
                <w:sz w:val="24"/>
                <w:highlight w:val="none"/>
              </w:rPr>
            </w:pPr>
            <w:r>
              <w:rPr>
                <w:color w:val="auto"/>
                <w:sz w:val="24"/>
                <w:highlight w:val="none"/>
              </w:rPr>
              <w:t>联系方式</w:t>
            </w:r>
          </w:p>
        </w:tc>
        <w:tc>
          <w:tcPr>
            <w:tcW w:w="3075" w:type="dxa"/>
            <w:vAlign w:val="center"/>
          </w:tcPr>
          <w:p>
            <w:pPr>
              <w:adjustRightInd w:val="0"/>
              <w:snapToGrid w:val="0"/>
              <w:jc w:val="center"/>
              <w:rPr>
                <w:rFonts w:hint="default" w:eastAsia="宋体"/>
                <w:color w:val="auto"/>
                <w:sz w:val="24"/>
                <w:lang w:val="en-US" w:eastAsia="zh-CN"/>
              </w:rPr>
            </w:pPr>
            <w:r>
              <w:rPr>
                <w:rFonts w:hint="default" w:eastAsia="宋体"/>
                <w:color w:val="auto"/>
                <w:sz w:val="24"/>
                <w:highlight w:val="none"/>
                <w:lang w:val="en-US" w:eastAsia="zh-CN"/>
              </w:rPr>
              <w:t>15709289130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7014" w:type="dxa"/>
            <w:gridSpan w:val="3"/>
            <w:vAlign w:val="center"/>
          </w:tcPr>
          <w:p>
            <w:pPr>
              <w:adjustRightInd w:val="0"/>
              <w:snapToGrid w:val="0"/>
              <w:jc w:val="center"/>
              <w:rPr>
                <w:rFonts w:hint="default" w:eastAsia="宋体"/>
                <w:color w:val="auto"/>
                <w:sz w:val="24"/>
                <w:lang w:val="en-US" w:eastAsia="zh-CN"/>
              </w:rPr>
            </w:pPr>
            <w:r>
              <w:rPr>
                <w:rFonts w:hint="eastAsia"/>
                <w:color w:val="auto"/>
                <w:sz w:val="24"/>
              </w:rPr>
              <w:t>陕西省西咸新区泾河新城</w:t>
            </w:r>
            <w:r>
              <w:rPr>
                <w:rFonts w:hint="eastAsia"/>
                <w:color w:val="auto"/>
                <w:sz w:val="24"/>
                <w:lang w:val="en-US" w:eastAsia="zh-CN"/>
              </w:rPr>
              <w:t>秦创原（泾河）智造创新产业园一期16号厂房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7014" w:type="dxa"/>
            <w:gridSpan w:val="3"/>
            <w:vAlign w:val="center"/>
          </w:tcPr>
          <w:p>
            <w:pPr>
              <w:jc w:val="center"/>
              <w:rPr>
                <w:color w:val="auto"/>
                <w:sz w:val="24"/>
              </w:rPr>
            </w:pPr>
            <w:r>
              <w:rPr>
                <w:color w:val="auto"/>
                <w:sz w:val="24"/>
              </w:rPr>
              <w:t>（</w:t>
            </w:r>
            <w:r>
              <w:rPr>
                <w:color w:val="auto"/>
                <w:sz w:val="24"/>
                <w:u w:val="single"/>
              </w:rPr>
              <w:t xml:space="preserve"> 108</w:t>
            </w:r>
            <w:r>
              <w:rPr>
                <w:color w:val="auto"/>
                <w:sz w:val="24"/>
              </w:rPr>
              <w:t>度</w:t>
            </w:r>
            <w:r>
              <w:rPr>
                <w:color w:val="auto"/>
                <w:sz w:val="24"/>
                <w:u w:val="single"/>
              </w:rPr>
              <w:t xml:space="preserve"> </w:t>
            </w:r>
            <w:r>
              <w:rPr>
                <w:rFonts w:hint="eastAsia"/>
                <w:color w:val="auto"/>
                <w:sz w:val="24"/>
                <w:u w:val="single"/>
              </w:rPr>
              <w:t>57</w:t>
            </w:r>
            <w:r>
              <w:rPr>
                <w:color w:val="auto"/>
                <w:sz w:val="24"/>
              </w:rPr>
              <w:t>分</w:t>
            </w:r>
            <w:r>
              <w:rPr>
                <w:color w:val="auto"/>
                <w:sz w:val="24"/>
                <w:u w:val="single"/>
              </w:rPr>
              <w:t xml:space="preserve"> </w:t>
            </w:r>
            <w:r>
              <w:rPr>
                <w:rFonts w:hint="eastAsia"/>
                <w:color w:val="auto"/>
                <w:sz w:val="24"/>
                <w:u w:val="single"/>
                <w:lang w:val="en-US" w:eastAsia="zh-CN"/>
              </w:rPr>
              <w:t>31.640</w:t>
            </w:r>
            <w:r>
              <w:rPr>
                <w:color w:val="auto"/>
                <w:sz w:val="24"/>
              </w:rPr>
              <w:t>秒，</w:t>
            </w:r>
            <w:r>
              <w:rPr>
                <w:color w:val="auto"/>
                <w:sz w:val="24"/>
                <w:u w:val="single"/>
              </w:rPr>
              <w:t xml:space="preserve"> 34 </w:t>
            </w:r>
            <w:r>
              <w:rPr>
                <w:color w:val="auto"/>
                <w:sz w:val="24"/>
              </w:rPr>
              <w:t>度</w:t>
            </w:r>
            <w:r>
              <w:rPr>
                <w:rFonts w:hint="eastAsia"/>
                <w:color w:val="auto"/>
                <w:sz w:val="24"/>
                <w:u w:val="single"/>
              </w:rPr>
              <w:t>32</w:t>
            </w:r>
            <w:r>
              <w:rPr>
                <w:color w:val="auto"/>
                <w:sz w:val="24"/>
              </w:rPr>
              <w:t>分</w:t>
            </w:r>
            <w:r>
              <w:rPr>
                <w:rFonts w:hint="eastAsia"/>
                <w:color w:val="auto"/>
                <w:sz w:val="24"/>
                <w:u w:val="single"/>
                <w:lang w:val="en-US" w:eastAsia="zh-CN"/>
              </w:rPr>
              <w:t>11.537</w:t>
            </w:r>
            <w:r>
              <w:rPr>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039" w:type="dxa"/>
            <w:vAlign w:val="center"/>
          </w:tcPr>
          <w:p>
            <w:pPr>
              <w:jc w:val="center"/>
              <w:rPr>
                <w:rFonts w:hint="default"/>
                <w:color w:val="auto"/>
                <w:sz w:val="24"/>
                <w:lang w:val="en-US"/>
              </w:rPr>
            </w:pPr>
            <w:r>
              <w:rPr>
                <w:color w:val="auto"/>
                <w:sz w:val="24"/>
              </w:rPr>
              <w:t>C</w:t>
            </w:r>
            <w:r>
              <w:rPr>
                <w:rFonts w:hint="eastAsia"/>
                <w:color w:val="auto"/>
                <w:sz w:val="24"/>
                <w:lang w:val="en-US" w:eastAsia="zh-CN"/>
              </w:rPr>
              <w:t>3042</w:t>
            </w:r>
          </w:p>
          <w:p>
            <w:pPr>
              <w:jc w:val="center"/>
              <w:rPr>
                <w:rFonts w:hint="eastAsia" w:eastAsia="宋体"/>
                <w:color w:val="auto"/>
                <w:sz w:val="24"/>
                <w:lang w:eastAsia="zh-CN"/>
              </w:rPr>
            </w:pPr>
            <w:r>
              <w:rPr>
                <w:rFonts w:hint="eastAsia"/>
                <w:color w:val="auto"/>
                <w:sz w:val="24"/>
                <w:lang w:val="en-US" w:eastAsia="zh-CN"/>
              </w:rPr>
              <w:t>特种玻璃制造</w:t>
            </w:r>
          </w:p>
        </w:tc>
        <w:tc>
          <w:tcPr>
            <w:tcW w:w="1900" w:type="dxa"/>
            <w:vAlign w:val="center"/>
          </w:tcPr>
          <w:p>
            <w:pPr>
              <w:adjustRightInd w:val="0"/>
              <w:snapToGrid w:val="0"/>
              <w:jc w:val="center"/>
              <w:rPr>
                <w:color w:val="auto"/>
                <w:sz w:val="24"/>
              </w:rPr>
            </w:pPr>
            <w:bookmarkStart w:id="1" w:name="_Hlk49843745"/>
            <w:r>
              <w:rPr>
                <w:color w:val="auto"/>
                <w:sz w:val="24"/>
              </w:rPr>
              <w:t>建设项目</w:t>
            </w:r>
          </w:p>
          <w:p>
            <w:pPr>
              <w:adjustRightInd w:val="0"/>
              <w:snapToGrid w:val="0"/>
              <w:jc w:val="center"/>
              <w:rPr>
                <w:color w:val="auto"/>
                <w:sz w:val="24"/>
              </w:rPr>
            </w:pPr>
            <w:r>
              <w:rPr>
                <w:color w:val="auto"/>
                <w:sz w:val="24"/>
              </w:rPr>
              <w:t>行业类别</w:t>
            </w:r>
            <w:bookmarkEnd w:id="1"/>
          </w:p>
        </w:tc>
        <w:tc>
          <w:tcPr>
            <w:tcW w:w="3075" w:type="dxa"/>
            <w:vAlign w:val="center"/>
          </w:tcPr>
          <w:p>
            <w:pPr>
              <w:adjustRightInd w:val="0"/>
              <w:snapToGrid w:val="0"/>
              <w:rPr>
                <w:rFonts w:hint="default"/>
                <w:color w:val="auto"/>
                <w:sz w:val="24"/>
                <w:lang w:val="en-US"/>
              </w:rPr>
            </w:pPr>
            <w:r>
              <w:rPr>
                <w:rFonts w:hint="eastAsia" w:hAnsi="宋体"/>
                <w:color w:val="auto"/>
                <w:sz w:val="24"/>
                <w:szCs w:val="24"/>
                <w:lang w:val="en-US" w:eastAsia="zh-CN"/>
              </w:rPr>
              <w:t>二十七</w:t>
            </w:r>
            <w:r>
              <w:rPr>
                <w:rFonts w:hint="eastAsia" w:hAnsi="宋体"/>
                <w:color w:val="auto"/>
                <w:sz w:val="24"/>
                <w:szCs w:val="24"/>
              </w:rPr>
              <w:t>、</w:t>
            </w:r>
            <w:r>
              <w:rPr>
                <w:rFonts w:hint="eastAsia" w:hAnsi="宋体"/>
                <w:color w:val="auto"/>
                <w:sz w:val="24"/>
                <w:szCs w:val="24"/>
                <w:lang w:val="en-US" w:eastAsia="zh-CN"/>
              </w:rPr>
              <w:t>非金属矿物制品业，57、玻璃制造304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039" w:type="dxa"/>
            <w:vAlign w:val="center"/>
          </w:tcPr>
          <w:p>
            <w:pPr>
              <w:jc w:val="left"/>
              <w:rPr>
                <w:color w:val="auto"/>
                <w:sz w:val="24"/>
              </w:rPr>
            </w:pPr>
            <w:r>
              <w:rPr>
                <w:rFonts w:hint="eastAsia"/>
                <w:color w:val="auto"/>
                <w:sz w:val="24"/>
                <w:lang w:eastAsia="zh-CN"/>
              </w:rPr>
              <w:t>√</w:t>
            </w:r>
            <w:r>
              <w:rPr>
                <w:color w:val="auto"/>
                <w:sz w:val="24"/>
              </w:rPr>
              <w:t>新建（迁建）</w:t>
            </w:r>
          </w:p>
          <w:p>
            <w:pPr>
              <w:jc w:val="left"/>
              <w:rPr>
                <w:color w:val="auto"/>
                <w:sz w:val="24"/>
              </w:rPr>
            </w:pPr>
            <w:r>
              <w:rPr>
                <w:rFonts w:hint="eastAsia"/>
                <w:color w:val="auto"/>
                <w:sz w:val="24"/>
                <w:lang w:eastAsia="zh-CN"/>
              </w:rPr>
              <w:t>□</w:t>
            </w:r>
            <w:r>
              <w:rPr>
                <w:color w:val="auto"/>
                <w:sz w:val="24"/>
              </w:rPr>
              <w:t>改建</w:t>
            </w:r>
          </w:p>
          <w:p>
            <w:pPr>
              <w:jc w:val="left"/>
              <w:rPr>
                <w:color w:val="auto"/>
                <w:sz w:val="24"/>
              </w:rPr>
            </w:pPr>
            <w:r>
              <w:rPr>
                <w:rFonts w:hint="eastAsia"/>
                <w:color w:val="auto"/>
                <w:sz w:val="24"/>
                <w:lang w:eastAsia="zh-CN"/>
              </w:rPr>
              <w:t>□</w:t>
            </w:r>
            <w:r>
              <w:rPr>
                <w:color w:val="auto"/>
                <w:sz w:val="24"/>
              </w:rPr>
              <w:t>扩建</w:t>
            </w:r>
          </w:p>
          <w:p>
            <w:pPr>
              <w:jc w:val="left"/>
              <w:rPr>
                <w:color w:val="auto"/>
                <w:sz w:val="24"/>
              </w:rPr>
            </w:pPr>
            <w:r>
              <w:rPr>
                <w:rFonts w:hint="eastAsia"/>
                <w:color w:val="auto"/>
                <w:sz w:val="24"/>
                <w:lang w:eastAsia="zh-CN"/>
              </w:rPr>
              <w:t>□</w:t>
            </w:r>
            <w:r>
              <w:rPr>
                <w:color w:val="auto"/>
                <w:sz w:val="24"/>
              </w:rPr>
              <w:t>技术改造</w:t>
            </w:r>
          </w:p>
        </w:tc>
        <w:tc>
          <w:tcPr>
            <w:tcW w:w="1900"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3075" w:type="dxa"/>
            <w:vAlign w:val="center"/>
          </w:tcPr>
          <w:p>
            <w:pPr>
              <w:jc w:val="left"/>
              <w:rPr>
                <w:color w:val="auto"/>
                <w:sz w:val="24"/>
              </w:rPr>
            </w:pPr>
            <w:r>
              <w:rPr>
                <w:rFonts w:hint="eastAsia"/>
                <w:color w:val="auto"/>
                <w:sz w:val="24"/>
                <w:lang w:eastAsia="zh-CN"/>
              </w:rPr>
              <w:t>□</w:t>
            </w:r>
            <w:r>
              <w:rPr>
                <w:color w:val="auto"/>
                <w:sz w:val="24"/>
              </w:rPr>
              <w:t xml:space="preserve">首次申报项目             </w:t>
            </w:r>
          </w:p>
          <w:p>
            <w:pPr>
              <w:jc w:val="left"/>
              <w:rPr>
                <w:color w:val="auto"/>
                <w:sz w:val="24"/>
              </w:rPr>
            </w:pPr>
            <w:r>
              <w:rPr>
                <w:rFonts w:hint="eastAsia"/>
                <w:color w:val="auto"/>
                <w:sz w:val="24"/>
                <w:lang w:eastAsia="zh-CN"/>
              </w:rPr>
              <w:t>□</w:t>
            </w:r>
            <w:r>
              <w:rPr>
                <w:color w:val="auto"/>
                <w:sz w:val="24"/>
              </w:rPr>
              <w:t>不予批准后再次申报项目</w:t>
            </w:r>
          </w:p>
          <w:p>
            <w:pPr>
              <w:jc w:val="left"/>
              <w:rPr>
                <w:color w:val="auto"/>
                <w:sz w:val="24"/>
              </w:rPr>
            </w:pPr>
            <w:r>
              <w:rPr>
                <w:rFonts w:hint="eastAsia"/>
                <w:color w:val="auto"/>
                <w:sz w:val="24"/>
                <w:lang w:eastAsia="zh-CN"/>
              </w:rPr>
              <w:t>□</w:t>
            </w:r>
            <w:r>
              <w:rPr>
                <w:color w:val="auto"/>
                <w:sz w:val="24"/>
              </w:rPr>
              <w:t xml:space="preserve">超五年重新审核项目     </w:t>
            </w:r>
          </w:p>
          <w:p>
            <w:pPr>
              <w:jc w:val="left"/>
              <w:rPr>
                <w:color w:val="auto"/>
                <w:sz w:val="24"/>
              </w:rPr>
            </w:pPr>
            <w:r>
              <w:rPr>
                <w:rFonts w:hint="eastAsia"/>
                <w:color w:val="auto"/>
                <w:sz w:val="24"/>
                <w:lang w:eastAsia="zh-CN"/>
              </w:rPr>
              <w:t>□</w:t>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2039" w:type="dxa"/>
            <w:vAlign w:val="center"/>
          </w:tcPr>
          <w:p>
            <w:pPr>
              <w:jc w:val="left"/>
              <w:rPr>
                <w:color w:val="auto"/>
                <w:sz w:val="24"/>
              </w:rPr>
            </w:pPr>
            <w:r>
              <w:rPr>
                <w:color w:val="auto"/>
                <w:sz w:val="24"/>
              </w:rPr>
              <w:t>陕西省西咸新区泾河新城</w:t>
            </w:r>
            <w:r>
              <w:rPr>
                <w:rFonts w:hint="eastAsia"/>
                <w:color w:val="auto"/>
                <w:sz w:val="24"/>
              </w:rPr>
              <w:t>管理委员会</w:t>
            </w:r>
          </w:p>
        </w:tc>
        <w:tc>
          <w:tcPr>
            <w:tcW w:w="1900" w:type="dxa"/>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备案）文号（选填）</w:t>
            </w:r>
          </w:p>
        </w:tc>
        <w:tc>
          <w:tcPr>
            <w:tcW w:w="3075" w:type="dxa"/>
            <w:vAlign w:val="center"/>
          </w:tcPr>
          <w:p>
            <w:pPr>
              <w:adjustRightInd w:val="0"/>
              <w:snapToGrid w:val="0"/>
              <w:jc w:val="center"/>
              <w:rPr>
                <w:color w:val="auto"/>
                <w:sz w:val="24"/>
              </w:rPr>
            </w:pP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039"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1500</w:t>
            </w:r>
          </w:p>
        </w:tc>
        <w:tc>
          <w:tcPr>
            <w:tcW w:w="1900" w:type="dxa"/>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环保投资（万元）</w:t>
            </w:r>
          </w:p>
        </w:tc>
        <w:tc>
          <w:tcPr>
            <w:tcW w:w="3075"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039"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4.3</w:t>
            </w:r>
          </w:p>
        </w:tc>
        <w:tc>
          <w:tcPr>
            <w:tcW w:w="1900" w:type="dxa"/>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施工工期</w:t>
            </w:r>
          </w:p>
        </w:tc>
        <w:tc>
          <w:tcPr>
            <w:tcW w:w="3075" w:type="dxa"/>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2024年8月~10月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56" w:type="dxa"/>
            <w:gridSpan w:val="2"/>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039" w:type="dxa"/>
            <w:vAlign w:val="center"/>
          </w:tcPr>
          <w:p>
            <w:pPr>
              <w:adjustRightInd w:val="0"/>
              <w:snapToGrid w:val="0"/>
              <w:rPr>
                <w:color w:val="auto"/>
                <w:sz w:val="24"/>
              </w:rPr>
            </w:pPr>
            <w:r>
              <w:rPr>
                <w:rFonts w:hint="eastAsia"/>
                <w:color w:val="auto"/>
                <w:sz w:val="24"/>
                <w:lang w:eastAsia="zh-CN"/>
              </w:rPr>
              <w:t>√</w:t>
            </w:r>
            <w:r>
              <w:rPr>
                <w:color w:val="auto"/>
                <w:sz w:val="24"/>
              </w:rPr>
              <w:t>否</w:t>
            </w:r>
          </w:p>
          <w:p>
            <w:pPr>
              <w:adjustRightInd w:val="0"/>
              <w:snapToGrid w:val="0"/>
              <w:rPr>
                <w:color w:val="auto"/>
                <w:sz w:val="24"/>
              </w:rPr>
            </w:pPr>
            <w:r>
              <w:rPr>
                <w:rFonts w:hint="eastAsia"/>
                <w:color w:val="auto"/>
                <w:sz w:val="24"/>
                <w:lang w:eastAsia="zh-CN"/>
              </w:rPr>
              <w:t>□</w:t>
            </w:r>
            <w:r>
              <w:rPr>
                <w:color w:val="auto"/>
                <w:sz w:val="24"/>
              </w:rPr>
              <w:t xml:space="preserve">是： </w:t>
            </w:r>
          </w:p>
        </w:tc>
        <w:tc>
          <w:tcPr>
            <w:tcW w:w="1900" w:type="dxa"/>
            <w:tcMar>
              <w:top w:w="16" w:type="dxa"/>
              <w:left w:w="16" w:type="dxa"/>
              <w:right w:w="16" w:type="dxa"/>
            </w:tcMar>
            <w:vAlign w:val="center"/>
          </w:tcPr>
          <w:p>
            <w:pPr>
              <w:adjustRightInd w:val="0"/>
              <w:snapToGrid w:val="0"/>
              <w:jc w:val="center"/>
              <w:rPr>
                <w:color w:val="auto"/>
                <w:spacing w:val="-6"/>
                <w:sz w:val="24"/>
              </w:rPr>
            </w:pPr>
            <w:r>
              <w:rPr>
                <w:color w:val="auto"/>
                <w:spacing w:val="-6"/>
                <w:sz w:val="24"/>
              </w:rPr>
              <w:t>用地（用海）</w:t>
            </w:r>
          </w:p>
          <w:p>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75"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2500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856" w:type="dxa"/>
            <w:gridSpan w:val="2"/>
            <w:vAlign w:val="center"/>
          </w:tcPr>
          <w:p>
            <w:pPr>
              <w:autoSpaceDE w:val="0"/>
              <w:autoSpaceDN w:val="0"/>
              <w:adjustRightInd w:val="0"/>
              <w:snapToGrid w:val="0"/>
              <w:jc w:val="center"/>
              <w:rPr>
                <w:color w:val="auto"/>
                <w:kern w:val="0"/>
                <w:sz w:val="24"/>
              </w:rPr>
            </w:pPr>
            <w:r>
              <w:rPr>
                <w:color w:val="auto"/>
                <w:kern w:val="0"/>
                <w:sz w:val="24"/>
              </w:rPr>
              <w:t>专项评价设置情况</w:t>
            </w:r>
          </w:p>
        </w:tc>
        <w:tc>
          <w:tcPr>
            <w:tcW w:w="7014" w:type="dxa"/>
            <w:gridSpan w:val="3"/>
            <w:vAlign w:val="center"/>
          </w:tcPr>
          <w:p>
            <w:pPr>
              <w:autoSpaceDE w:val="0"/>
              <w:autoSpaceDN w:val="0"/>
              <w:jc w:val="center"/>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56" w:type="dxa"/>
            <w:gridSpan w:val="2"/>
            <w:vAlign w:val="center"/>
          </w:tcPr>
          <w:p>
            <w:pPr>
              <w:autoSpaceDE w:val="0"/>
              <w:autoSpaceDN w:val="0"/>
              <w:adjustRightInd w:val="0"/>
              <w:snapToGrid w:val="0"/>
              <w:jc w:val="center"/>
              <w:rPr>
                <w:color w:val="auto"/>
                <w:kern w:val="0"/>
                <w:sz w:val="24"/>
              </w:rPr>
            </w:pPr>
            <w:r>
              <w:rPr>
                <w:color w:val="auto"/>
                <w:sz w:val="24"/>
              </w:rPr>
              <w:t>规划情况</w:t>
            </w:r>
          </w:p>
        </w:tc>
        <w:tc>
          <w:tcPr>
            <w:tcW w:w="7014"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规划名称：</w:t>
            </w:r>
            <w:r>
              <w:rPr>
                <w:rFonts w:ascii="Times New Roman" w:hAnsi="Times New Roman" w:eastAsia="宋体" w:cs="Times New Roman"/>
                <w:color w:val="auto"/>
                <w:sz w:val="24"/>
                <w:szCs w:val="24"/>
                <w:shd w:val="clear" w:color="auto" w:fill="FFFFFF"/>
              </w:rPr>
              <w:t>《西咸新区</w:t>
            </w:r>
            <w:r>
              <w:rPr>
                <w:rFonts w:hint="eastAsia" w:cs="Times New Roman"/>
                <w:color w:val="auto"/>
                <w:sz w:val="24"/>
                <w:szCs w:val="24"/>
                <w:shd w:val="clear" w:color="auto" w:fill="FFFFFF"/>
                <w:lang w:val="en-US" w:eastAsia="zh-CN"/>
              </w:rPr>
              <w:t>-</w:t>
            </w:r>
            <w:r>
              <w:rPr>
                <w:rFonts w:ascii="Times New Roman" w:hAnsi="Times New Roman" w:eastAsia="宋体" w:cs="Times New Roman"/>
                <w:color w:val="auto"/>
                <w:sz w:val="24"/>
                <w:szCs w:val="24"/>
                <w:shd w:val="clear" w:color="auto" w:fill="FFFFFF"/>
              </w:rPr>
              <w:t>泾河新城分区规划</w:t>
            </w:r>
            <w:r>
              <w:rPr>
                <w:rFonts w:hint="eastAsia" w:ascii="Times New Roman" w:hAnsi="Times New Roman" w:eastAsia="宋体" w:cs="Times New Roman"/>
                <w:color w:val="auto"/>
                <w:sz w:val="24"/>
                <w:szCs w:val="24"/>
                <w:shd w:val="clear" w:color="auto" w:fill="FFFFFF"/>
              </w:rPr>
              <w:t>修编</w:t>
            </w:r>
            <w:r>
              <w:rPr>
                <w:rFonts w:ascii="Times New Roman" w:hAnsi="Times New Roman" w:eastAsia="宋体" w:cs="Times New Roman"/>
                <w:color w:val="auto"/>
                <w:sz w:val="24"/>
                <w:szCs w:val="24"/>
                <w:shd w:val="clear" w:color="auto" w:fill="FFFFFF"/>
              </w:rPr>
              <w:t>（2016年～2035年）》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color w:val="auto"/>
                <w:sz w:val="24"/>
                <w:szCs w:val="24"/>
              </w:rPr>
            </w:pPr>
            <w:r>
              <w:rPr>
                <w:rFonts w:hint="eastAsia" w:ascii="Times New Roman" w:hAnsi="Times New Roman" w:eastAsia="宋体" w:cs="Times New Roman"/>
                <w:color w:val="auto"/>
                <w:sz w:val="24"/>
                <w:szCs w:val="24"/>
                <w:shd w:val="clear" w:color="auto" w:fill="FFFFFF"/>
              </w:rPr>
              <w:t>规划审批机关：西咸新区开发建设管理委员会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856" w:type="dxa"/>
            <w:gridSpan w:val="2"/>
            <w:vAlign w:val="center"/>
          </w:tcPr>
          <w:p>
            <w:pPr>
              <w:adjustRightInd w:val="0"/>
              <w:snapToGrid w:val="0"/>
              <w:jc w:val="center"/>
              <w:rPr>
                <w:color w:val="auto"/>
                <w:sz w:val="24"/>
              </w:rPr>
            </w:pPr>
            <w:r>
              <w:rPr>
                <w:color w:val="auto"/>
                <w:sz w:val="24"/>
              </w:rPr>
              <w:t>规划环境影响</w:t>
            </w:r>
          </w:p>
          <w:p>
            <w:pPr>
              <w:adjustRightInd w:val="0"/>
              <w:snapToGrid w:val="0"/>
              <w:jc w:val="center"/>
              <w:rPr>
                <w:color w:val="auto"/>
                <w:kern w:val="0"/>
                <w:sz w:val="24"/>
              </w:rPr>
            </w:pPr>
            <w:r>
              <w:rPr>
                <w:color w:val="auto"/>
                <w:sz w:val="24"/>
              </w:rPr>
              <w:t>评价情况</w:t>
            </w:r>
          </w:p>
        </w:tc>
        <w:tc>
          <w:tcPr>
            <w:tcW w:w="7014"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sz w:val="24"/>
                <w:szCs w:val="24"/>
                <w:shd w:val="clear" w:color="auto" w:fill="FFFFFF"/>
              </w:rPr>
            </w:pPr>
            <w:r>
              <w:rPr>
                <w:color w:val="auto"/>
                <w:sz w:val="24"/>
                <w:szCs w:val="24"/>
                <w:shd w:val="clear" w:color="auto" w:fill="FFFFFF"/>
              </w:rPr>
              <w:t>规划环境影响评价文件名称：《陕西省西咸新区泾河新城分区规划（2016-2035）环境影响报告书》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sz w:val="24"/>
                <w:szCs w:val="24"/>
                <w:shd w:val="clear" w:color="auto" w:fill="FFFFFF"/>
              </w:rPr>
            </w:pPr>
            <w:r>
              <w:rPr>
                <w:color w:val="auto"/>
                <w:sz w:val="24"/>
                <w:szCs w:val="24"/>
                <w:shd w:val="clear" w:color="auto" w:fill="FFFFFF"/>
              </w:rPr>
              <w:t>审查机关：陕西省西咸新区生态环境局</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sz w:val="24"/>
                <w:szCs w:val="24"/>
              </w:rPr>
            </w:pPr>
            <w:r>
              <w:rPr>
                <w:color w:val="auto"/>
                <w:sz w:val="24"/>
                <w:szCs w:val="24"/>
                <w:shd w:val="clear" w:color="auto" w:fill="FFFFFF"/>
              </w:rPr>
              <w:t>审查文件名称及文号：陕西省西咸新区生态环境局关于《陕西省西咸新区泾河新城分区规划（2016-2035年）环境影响报告书》的审查意见（陕西咸环函〔2021〕41号）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5" w:type="dxa"/>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8195" w:type="dxa"/>
            <w:gridSpan w:val="4"/>
            <w:vAlign w:val="center"/>
          </w:tcPr>
          <w:p>
            <w:pPr>
              <w:autoSpaceDE w:val="0"/>
              <w:autoSpaceDN w:val="0"/>
              <w:adjustRightInd w:val="0"/>
              <w:snapToGrid w:val="0"/>
              <w:spacing w:line="360" w:lineRule="auto"/>
              <w:ind w:firstLine="480" w:firstLineChars="200"/>
              <w:rPr>
                <w:color w:val="auto"/>
                <w:kern w:val="0"/>
                <w:sz w:val="24"/>
              </w:rPr>
            </w:pPr>
            <w:r>
              <w:rPr>
                <w:color w:val="auto"/>
                <w:kern w:val="0"/>
                <w:sz w:val="24"/>
              </w:rPr>
              <w:t>本项目规划及规划环境影响评价符合性分析见表1-1。</w:t>
            </w:r>
          </w:p>
          <w:p>
            <w:pPr>
              <w:autoSpaceDE w:val="0"/>
              <w:autoSpaceDN w:val="0"/>
              <w:adjustRightInd w:val="0"/>
              <w:snapToGrid w:val="0"/>
              <w:jc w:val="center"/>
              <w:rPr>
                <w:b/>
                <w:bCs/>
                <w:color w:val="auto"/>
                <w:szCs w:val="21"/>
              </w:rPr>
            </w:pPr>
            <w:r>
              <w:rPr>
                <w:b/>
                <w:bCs/>
                <w:color w:val="auto"/>
                <w:szCs w:val="21"/>
              </w:rPr>
              <w:t>表1-1  项目与相关规划及规划环评符合性分析</w:t>
            </w:r>
          </w:p>
          <w:tbl>
            <w:tblPr>
              <w:tblStyle w:val="29"/>
              <w:tblW w:w="7973" w:type="dxa"/>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730"/>
              <w:gridCol w:w="2429"/>
              <w:gridCol w:w="8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681" w:type="dxa"/>
                  <w:gridSpan w:val="2"/>
                  <w:tcBorders>
                    <w:tl2br w:val="nil"/>
                    <w:tr2bl w:val="nil"/>
                  </w:tcBorders>
                  <w:vAlign w:val="center"/>
                </w:tcPr>
                <w:p>
                  <w:pPr>
                    <w:jc w:val="center"/>
                    <w:rPr>
                      <w:color w:val="auto"/>
                      <w:szCs w:val="21"/>
                    </w:rPr>
                  </w:pPr>
                  <w:r>
                    <w:rPr>
                      <w:color w:val="auto"/>
                      <w:szCs w:val="21"/>
                    </w:rPr>
                    <w:t>分析判定内容</w:t>
                  </w:r>
                </w:p>
              </w:tc>
              <w:tc>
                <w:tcPr>
                  <w:tcW w:w="2429" w:type="dxa"/>
                  <w:tcBorders>
                    <w:tl2br w:val="nil"/>
                    <w:tr2bl w:val="nil"/>
                  </w:tcBorders>
                  <w:vAlign w:val="center"/>
                </w:tcPr>
                <w:p>
                  <w:pPr>
                    <w:jc w:val="center"/>
                    <w:rPr>
                      <w:color w:val="auto"/>
                      <w:szCs w:val="21"/>
                    </w:rPr>
                  </w:pPr>
                  <w:r>
                    <w:rPr>
                      <w:color w:val="auto"/>
                      <w:szCs w:val="21"/>
                    </w:rPr>
                    <w:t>本项目情况</w:t>
                  </w:r>
                </w:p>
              </w:tc>
              <w:tc>
                <w:tcPr>
                  <w:tcW w:w="863" w:type="dxa"/>
                  <w:tcBorders>
                    <w:tl2br w:val="nil"/>
                    <w:tr2bl w:val="nil"/>
                  </w:tcBorders>
                  <w:vAlign w:val="center"/>
                </w:tcPr>
                <w:p>
                  <w:pPr>
                    <w:jc w:val="center"/>
                    <w:rPr>
                      <w:color w:val="auto"/>
                      <w:szCs w:val="21"/>
                    </w:rPr>
                  </w:pPr>
                  <w:r>
                    <w:rPr>
                      <w:color w:val="auto"/>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951" w:type="dxa"/>
                  <w:tcBorders>
                    <w:tl2br w:val="nil"/>
                    <w:tr2bl w:val="nil"/>
                  </w:tcBorders>
                  <w:vAlign w:val="center"/>
                </w:tcPr>
                <w:p>
                  <w:pPr>
                    <w:jc w:val="center"/>
                    <w:rPr>
                      <w:color w:val="auto"/>
                      <w:szCs w:val="21"/>
                    </w:rPr>
                  </w:pPr>
                  <w:r>
                    <w:rPr>
                      <w:rFonts w:hint="eastAsia"/>
                      <w:color w:val="auto"/>
                      <w:szCs w:val="21"/>
                    </w:rPr>
                    <w:t>西咸新区—泾河新城分区规划修编（2016年～2035年）</w:t>
                  </w:r>
                </w:p>
              </w:tc>
              <w:tc>
                <w:tcPr>
                  <w:tcW w:w="3730" w:type="dxa"/>
                  <w:tcBorders>
                    <w:tl2br w:val="nil"/>
                    <w:tr2bl w:val="nil"/>
                  </w:tcBorders>
                  <w:vAlign w:val="center"/>
                </w:tcPr>
                <w:p>
                  <w:pPr>
                    <w:rPr>
                      <w:rFonts w:hint="eastAsia"/>
                      <w:color w:val="auto"/>
                      <w:szCs w:val="21"/>
                    </w:rPr>
                  </w:pPr>
                  <w:r>
                    <w:rPr>
                      <w:rFonts w:hint="eastAsia"/>
                      <w:color w:val="auto"/>
                      <w:szCs w:val="21"/>
                    </w:rPr>
                    <w:t>总体定位：以先进制造业、现代服务业、现代农业为主导产业，以智能制造、生产性服务、文化旅游和茯茶产业为特色产业，具有浓厚古今文化韵味、智慧宜居氛围的大西安北部生态休闲示范区和渭北创新产业服务高地。规划范围：北临西咸北环线、东接渭北工业走廊、南临秦汉新城、西临空港新城，总面积132.97km</w:t>
                  </w:r>
                  <w:r>
                    <w:rPr>
                      <w:rFonts w:hint="eastAsia"/>
                      <w:color w:val="auto"/>
                      <w:szCs w:val="21"/>
                      <w:vertAlign w:val="superscript"/>
                    </w:rPr>
                    <w:t>2</w:t>
                  </w:r>
                  <w:r>
                    <w:rPr>
                      <w:rFonts w:hint="eastAsia"/>
                      <w:color w:val="auto"/>
                      <w:szCs w:val="21"/>
                    </w:rPr>
                    <w:t>，其中城市建设用地47.37km</w:t>
                  </w:r>
                  <w:r>
                    <w:rPr>
                      <w:rFonts w:hint="eastAsia"/>
                      <w:color w:val="auto"/>
                      <w:szCs w:val="21"/>
                      <w:vertAlign w:val="superscript"/>
                    </w:rPr>
                    <w:t>2</w:t>
                  </w:r>
                  <w:r>
                    <w:rPr>
                      <w:rFonts w:hint="eastAsia"/>
                      <w:color w:val="auto"/>
                      <w:szCs w:val="21"/>
                    </w:rPr>
                    <w:t>。</w:t>
                  </w:r>
                </w:p>
                <w:p>
                  <w:pPr>
                    <w:rPr>
                      <w:rFonts w:hint="default" w:eastAsia="宋体"/>
                      <w:color w:val="auto"/>
                      <w:szCs w:val="21"/>
                      <w:lang w:val="en-US" w:eastAsia="zh-CN"/>
                    </w:rPr>
                  </w:pPr>
                  <w:r>
                    <w:rPr>
                      <w:rFonts w:hint="eastAsia"/>
                      <w:color w:val="auto"/>
                      <w:szCs w:val="21"/>
                      <w:lang w:val="en-US" w:eastAsia="zh-CN"/>
                    </w:rPr>
                    <w:t>中国原点智慧科创产业区核心功能：智能制造、高端制造、研发会展。</w:t>
                  </w:r>
                </w:p>
              </w:tc>
              <w:tc>
                <w:tcPr>
                  <w:tcW w:w="2429" w:type="dxa"/>
                  <w:tcBorders>
                    <w:tl2br w:val="nil"/>
                    <w:tr2bl w:val="nil"/>
                  </w:tcBorders>
                  <w:vAlign w:val="center"/>
                </w:tcPr>
                <w:p>
                  <w:pPr>
                    <w:jc w:val="center"/>
                    <w:rPr>
                      <w:color w:val="auto"/>
                      <w:szCs w:val="21"/>
                    </w:rPr>
                  </w:pPr>
                  <w:r>
                    <w:rPr>
                      <w:rFonts w:hint="eastAsia" w:ascii="Times New Roman" w:hAnsi="Times New Roman" w:eastAsia="宋体" w:cs="Times New Roman"/>
                      <w:color w:val="auto"/>
                      <w:szCs w:val="21"/>
                    </w:rPr>
                    <w:t>本项目位于</w:t>
                  </w:r>
                  <w:r>
                    <w:rPr>
                      <w:rFonts w:hint="eastAsia"/>
                      <w:color w:val="auto"/>
                      <w:sz w:val="21"/>
                      <w:szCs w:val="21"/>
                    </w:rPr>
                    <w:t>泾河新城</w:t>
                  </w:r>
                  <w:r>
                    <w:rPr>
                      <w:rFonts w:hint="eastAsia"/>
                      <w:color w:val="auto"/>
                      <w:sz w:val="21"/>
                      <w:szCs w:val="21"/>
                      <w:lang w:val="en-US" w:eastAsia="zh-CN"/>
                    </w:rPr>
                    <w:t>秦创原（泾河）智造创新产业园</w:t>
                  </w:r>
                  <w:r>
                    <w:rPr>
                      <w:rFonts w:hint="eastAsia" w:cs="Times New Roman"/>
                      <w:color w:val="auto"/>
                      <w:szCs w:val="21"/>
                      <w:lang w:val="en-US" w:eastAsia="zh-CN"/>
                    </w:rPr>
                    <w:t>，</w:t>
                  </w:r>
                  <w:r>
                    <w:rPr>
                      <w:rFonts w:hint="eastAsia" w:ascii="Times New Roman" w:hAnsi="Times New Roman" w:eastAsia="宋体" w:cs="Times New Roman"/>
                      <w:color w:val="auto"/>
                      <w:sz w:val="21"/>
                      <w:szCs w:val="21"/>
                      <w:highlight w:val="none"/>
                      <w:lang w:val="en-US" w:eastAsia="zh-CN"/>
                    </w:rPr>
                    <w:t>本项目</w:t>
                  </w:r>
                  <w:r>
                    <w:rPr>
                      <w:rFonts w:hint="eastAsia" w:hAnsi="宋体"/>
                      <w:color w:val="auto"/>
                      <w:lang w:val="en-US" w:eastAsia="zh-CN"/>
                    </w:rPr>
                    <w:t>为光电玻璃、智能玻璃、光伏玻璃等的研发、生产和销售的智能制造项目</w:t>
                  </w:r>
                  <w:r>
                    <w:rPr>
                      <w:rFonts w:hint="eastAsia"/>
                      <w:color w:val="auto"/>
                      <w:kern w:val="0"/>
                      <w:szCs w:val="21"/>
                      <w:lang w:val="en-US" w:eastAsia="zh-CN"/>
                    </w:rPr>
                    <w:t>，符合西咸新区泾河新城分区规划要求。</w:t>
                  </w:r>
                </w:p>
              </w:tc>
              <w:tc>
                <w:tcPr>
                  <w:tcW w:w="863" w:type="dxa"/>
                  <w:tcBorders>
                    <w:tl2br w:val="nil"/>
                    <w:tr2bl w:val="nil"/>
                  </w:tcBorders>
                  <w:vAlign w:val="center"/>
                </w:tcPr>
                <w:p>
                  <w:pPr>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restart"/>
                  <w:tcBorders>
                    <w:tl2br w:val="nil"/>
                    <w:tr2bl w:val="nil"/>
                  </w:tcBorders>
                  <w:vAlign w:val="center"/>
                </w:tcPr>
                <w:p>
                  <w:pPr>
                    <w:jc w:val="center"/>
                    <w:rPr>
                      <w:color w:val="auto"/>
                      <w:szCs w:val="21"/>
                    </w:rPr>
                  </w:pPr>
                  <w:r>
                    <w:rPr>
                      <w:color w:val="auto"/>
                      <w:szCs w:val="21"/>
                    </w:rPr>
                    <w:t>《陕西省西咸新区泾河新城分区规划（2016-2035）》环境影响报告书</w:t>
                  </w:r>
                </w:p>
              </w:tc>
              <w:tc>
                <w:tcPr>
                  <w:tcW w:w="3730" w:type="dxa"/>
                  <w:tcBorders>
                    <w:tl2br w:val="nil"/>
                    <w:tr2bl w:val="nil"/>
                  </w:tcBorders>
                  <w:vAlign w:val="center"/>
                </w:tcPr>
                <w:p>
                  <w:pPr>
                    <w:jc w:val="center"/>
                    <w:rPr>
                      <w:color w:val="auto"/>
                      <w:szCs w:val="21"/>
                    </w:rPr>
                  </w:pPr>
                  <w:r>
                    <w:rPr>
                      <w:color w:val="auto"/>
                      <w:szCs w:val="21"/>
                    </w:rPr>
                    <w:t>规划主管部门应严格管理，要求入驻企业采用先进、成熟、可靠的工艺技术和清洁的原辅材料，对产生的废物进行合理的回用和治理，尽可能从源头上减少污染物排放；禁止利用渗坑、渗井、裂隙等排放污水和其他有害废弃物的行为；严格按照国家相关规范要求，对工艺、管道、设备、污水储存及处理构筑物采取相应的措施，以防止和降低污染物的跑、冒、滴、漏，将污染物泄漏的环境风险事故降低到最低程度；加强雨污分流排水体制建设，避免雨污水混流后进入外环境，污染区域地下水质。</w:t>
                  </w:r>
                </w:p>
              </w:tc>
              <w:tc>
                <w:tcPr>
                  <w:tcW w:w="2429" w:type="dxa"/>
                  <w:tcBorders>
                    <w:tl2br w:val="nil"/>
                    <w:tr2bl w:val="nil"/>
                  </w:tcBorders>
                  <w:vAlign w:val="center"/>
                </w:tcPr>
                <w:p>
                  <w:pPr>
                    <w:jc w:val="center"/>
                    <w:rPr>
                      <w:color w:val="auto"/>
                      <w:szCs w:val="21"/>
                    </w:rPr>
                  </w:pPr>
                  <w:r>
                    <w:rPr>
                      <w:rFonts w:hint="eastAsia"/>
                      <w:color w:val="auto"/>
                      <w:szCs w:val="21"/>
                      <w:lang w:val="en-US" w:eastAsia="zh-CN"/>
                    </w:rPr>
                    <w:t>本</w:t>
                  </w:r>
                  <w:r>
                    <w:rPr>
                      <w:color w:val="auto"/>
                      <w:szCs w:val="21"/>
                    </w:rPr>
                    <w:t>项目</w:t>
                  </w:r>
                  <w:r>
                    <w:rPr>
                      <w:rFonts w:hint="eastAsia"/>
                      <w:color w:val="auto"/>
                      <w:szCs w:val="21"/>
                      <w:lang w:val="en-US" w:eastAsia="zh-CN"/>
                    </w:rPr>
                    <w:t>主要工艺为激光雕刻、全自动钢网印刷、高速贴片、回流焊等先进、成熟、可靠的工艺技术，原料为建筑玻璃、基板、电致变色中间膜、PVB膜等清洁原辅材料；生活污水经化粪池处理后排放到市政污水管网，未</w:t>
                  </w:r>
                  <w:r>
                    <w:rPr>
                      <w:color w:val="auto"/>
                      <w:szCs w:val="21"/>
                    </w:rPr>
                    <w:t>利用渗坑、渗井、裂隙等排放污水和其他有害废弃物</w:t>
                  </w:r>
                  <w:r>
                    <w:rPr>
                      <w:rFonts w:hint="eastAsia"/>
                      <w:color w:val="auto"/>
                      <w:szCs w:val="21"/>
                      <w:lang w:val="en-US" w:eastAsia="zh-CN"/>
                    </w:rPr>
                    <w:t>；租赁的车间地面敷设20cm厚的混凝土层</w:t>
                  </w:r>
                  <w:r>
                    <w:rPr>
                      <w:rFonts w:hint="eastAsia"/>
                      <w:color w:val="auto"/>
                      <w:szCs w:val="21"/>
                      <w:highlight w:val="none"/>
                      <w:lang w:val="en-US" w:eastAsia="zh-CN"/>
                    </w:rPr>
                    <w:t>，危废贮存库设置在一层靠近南侧围墙处，地面为混凝土层并涂刷环氧树脂防渗层，</w:t>
                  </w:r>
                  <w:r>
                    <w:rPr>
                      <w:rFonts w:hint="eastAsia"/>
                      <w:color w:val="auto"/>
                      <w:szCs w:val="21"/>
                      <w:lang w:val="en-US" w:eastAsia="zh-CN"/>
                    </w:rPr>
                    <w:t>防止危废</w:t>
                  </w:r>
                  <w:r>
                    <w:rPr>
                      <w:color w:val="auto"/>
                      <w:szCs w:val="21"/>
                    </w:rPr>
                    <w:t>的跑、冒、滴、漏，将污染物泄漏的环境风险事故降低到最低程度。</w:t>
                  </w:r>
                </w:p>
              </w:tc>
              <w:tc>
                <w:tcPr>
                  <w:tcW w:w="863" w:type="dxa"/>
                  <w:tcBorders>
                    <w:tl2br w:val="nil"/>
                    <w:tr2bl w:val="nil"/>
                  </w:tcBorders>
                  <w:vAlign w:val="center"/>
                </w:tcPr>
                <w:p>
                  <w:pPr>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jc w:val="center"/>
                    <w:rPr>
                      <w:color w:val="auto"/>
                      <w:szCs w:val="21"/>
                    </w:rPr>
                  </w:pPr>
                  <w:r>
                    <w:rPr>
                      <w:color w:val="auto"/>
                      <w:szCs w:val="21"/>
                    </w:rPr>
                    <w:t>规划新增项目产生的一般工业固体废物可以回收利用的，企业直接回收利用，或送厂家进行回收再利用，或外卖其他企业回收利用；无法综合利用的一般工业固体废物按《一般工业固体废物贮存和填埋污染控制标准》（GB 18599-2020）中有关要求，进行贮存。对于涉及危险废物的企业应建立危险废物暂存库并严格按照重点防渗区进行防渗处理，防止污染地下水，并定期及时交由有资质单位处置，应与有危险废物处置资质单位建立长期合作关系。</w:t>
                  </w:r>
                </w:p>
              </w:tc>
              <w:tc>
                <w:tcPr>
                  <w:tcW w:w="2429" w:type="dxa"/>
                  <w:tcBorders>
                    <w:tl2br w:val="nil"/>
                    <w:tr2bl w:val="nil"/>
                  </w:tcBorders>
                  <w:vAlign w:val="center"/>
                </w:tcPr>
                <w:p>
                  <w:pPr>
                    <w:rPr>
                      <w:color w:val="auto"/>
                      <w:szCs w:val="21"/>
                    </w:rPr>
                  </w:pPr>
                  <w:r>
                    <w:rPr>
                      <w:rFonts w:hint="eastAsia"/>
                      <w:color w:val="auto"/>
                      <w:szCs w:val="21"/>
                      <w:highlight w:val="none"/>
                      <w:lang w:val="en-US" w:eastAsia="zh-CN"/>
                    </w:rPr>
                    <w:t>划定一般工业固体废物暂存区域分类收集产生的一般工业固废，</w:t>
                  </w:r>
                  <w:r>
                    <w:rPr>
                      <w:color w:val="auto"/>
                      <w:szCs w:val="21"/>
                      <w:highlight w:val="none"/>
                    </w:rPr>
                    <w:t>建</w:t>
                  </w:r>
                  <w:r>
                    <w:rPr>
                      <w:color w:val="auto"/>
                      <w:szCs w:val="21"/>
                    </w:rPr>
                    <w:t>设危废</w:t>
                  </w:r>
                  <w:r>
                    <w:rPr>
                      <w:rFonts w:hint="eastAsia"/>
                      <w:color w:val="auto"/>
                      <w:szCs w:val="21"/>
                    </w:rPr>
                    <w:t>贮存库</w:t>
                  </w:r>
                  <w:r>
                    <w:rPr>
                      <w:color w:val="auto"/>
                      <w:szCs w:val="21"/>
                    </w:rPr>
                    <w:t>，</w:t>
                  </w:r>
                  <w:r>
                    <w:rPr>
                      <w:rFonts w:hint="eastAsia"/>
                      <w:color w:val="auto"/>
                      <w:szCs w:val="21"/>
                    </w:rPr>
                    <w:t>危废</w:t>
                  </w:r>
                  <w:r>
                    <w:rPr>
                      <w:color w:val="auto"/>
                      <w:szCs w:val="21"/>
                    </w:rPr>
                    <w:t>暂存后交有资质单位处置，危废</w:t>
                  </w:r>
                  <w:r>
                    <w:rPr>
                      <w:rFonts w:hint="eastAsia"/>
                      <w:color w:val="auto"/>
                      <w:szCs w:val="21"/>
                    </w:rPr>
                    <w:t>贮存库</w:t>
                  </w:r>
                  <w:r>
                    <w:rPr>
                      <w:color w:val="auto"/>
                      <w:szCs w:val="21"/>
                    </w:rPr>
                    <w:t>按</w:t>
                  </w:r>
                  <w:r>
                    <w:rPr>
                      <w:snapToGrid w:val="0"/>
                      <w:color w:val="auto"/>
                      <w:szCs w:val="21"/>
                    </w:rPr>
                    <w:t>《危险废物贮存污染控制标准》（GB18597-2023）</w:t>
                  </w:r>
                  <w:r>
                    <w:rPr>
                      <w:color w:val="auto"/>
                      <w:szCs w:val="21"/>
                    </w:rPr>
                    <w:t>要求进行</w:t>
                  </w:r>
                  <w:r>
                    <w:rPr>
                      <w:rFonts w:hint="eastAsia"/>
                      <w:color w:val="auto"/>
                      <w:szCs w:val="21"/>
                    </w:rPr>
                    <w:t>建设</w:t>
                  </w:r>
                  <w:r>
                    <w:rPr>
                      <w:color w:val="auto"/>
                      <w:szCs w:val="21"/>
                    </w:rPr>
                    <w:t>。</w:t>
                  </w:r>
                </w:p>
              </w:tc>
              <w:tc>
                <w:tcPr>
                  <w:tcW w:w="863" w:type="dxa"/>
                  <w:tcBorders>
                    <w:tl2br w:val="nil"/>
                    <w:tr2bl w:val="nil"/>
                  </w:tcBorders>
                  <w:vAlign w:val="center"/>
                </w:tcPr>
                <w:p>
                  <w:pPr>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highlight w:val="none"/>
                    </w:rPr>
                  </w:pPr>
                  <w:r>
                    <w:rPr>
                      <w:color w:val="auto"/>
                      <w:szCs w:val="21"/>
                      <w:highlight w:val="none"/>
                    </w:rPr>
                    <w:t>严格控制入区工业项目，采取总量控制的方式，限制大气污染物排放量大的项目入区。</w:t>
                  </w:r>
                </w:p>
              </w:tc>
              <w:tc>
                <w:tcPr>
                  <w:tcW w:w="2429" w:type="dxa"/>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color w:val="auto"/>
                      <w:szCs w:val="21"/>
                      <w:highlight w:val="none"/>
                    </w:rPr>
                    <w:t>本项目</w:t>
                  </w:r>
                  <w:r>
                    <w:rPr>
                      <w:rFonts w:hint="eastAsia"/>
                      <w:color w:val="auto"/>
                      <w:szCs w:val="21"/>
                      <w:highlight w:val="none"/>
                      <w:lang w:val="en-US" w:eastAsia="zh-CN"/>
                    </w:rPr>
                    <w:t>废气主要是非甲烷总烃及颗粒物，其中非甲烷总烃产生量为18kg/a，经处理后有组织排放量为4.41kg/a；</w:t>
                  </w:r>
                  <w:r>
                    <w:rPr>
                      <w:rFonts w:hint="eastAsia"/>
                      <w:color w:val="auto"/>
                      <w:szCs w:val="21"/>
                      <w:highlight w:val="none"/>
                      <w:lang w:val="en-US" w:eastAsia="zh-CN"/>
                    </w:rPr>
                    <w:t>颗粒物产生量为7.867kg/a，经处理后有组织排放量为0.49kg/a</w:t>
                  </w:r>
                  <w:r>
                    <w:rPr>
                      <w:rFonts w:hint="eastAsia"/>
                      <w:color w:val="auto"/>
                      <w:szCs w:val="21"/>
                      <w:highlight w:val="none"/>
                      <w:lang w:eastAsia="zh-CN"/>
                    </w:rPr>
                    <w:t>，</w:t>
                  </w:r>
                  <w:r>
                    <w:rPr>
                      <w:rFonts w:hint="eastAsia"/>
                      <w:color w:val="auto"/>
                      <w:szCs w:val="21"/>
                      <w:highlight w:val="none"/>
                      <w:lang w:val="en-US" w:eastAsia="zh-CN"/>
                    </w:rPr>
                    <w:t>锡及其化合物产生量为6.942kg/a，经处理后有组织排放量为0.416kg/a</w:t>
                  </w:r>
                  <w:r>
                    <w:rPr>
                      <w:rFonts w:hint="eastAsia"/>
                      <w:color w:val="auto"/>
                      <w:szCs w:val="21"/>
                      <w:highlight w:val="none"/>
                      <w:lang w:eastAsia="zh-CN"/>
                    </w:rPr>
                    <w:t>，</w:t>
                  </w:r>
                  <w:r>
                    <w:rPr>
                      <w:rFonts w:hint="eastAsia"/>
                      <w:color w:val="auto"/>
                      <w:szCs w:val="21"/>
                      <w:highlight w:val="none"/>
                      <w:lang w:val="en-US" w:eastAsia="zh-CN"/>
                    </w:rPr>
                    <w:t>均不属于排放量大的项目。</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rPr>
                  </w:pPr>
                  <w:r>
                    <w:rPr>
                      <w:color w:val="auto"/>
                      <w:szCs w:val="21"/>
                    </w:rPr>
                    <w:t>加强监督管理，确保</w:t>
                  </w:r>
                  <w:r>
                    <w:rPr>
                      <w:rFonts w:hint="eastAsia"/>
                      <w:color w:val="auto"/>
                      <w:szCs w:val="21"/>
                      <w:lang w:eastAsia="zh-CN"/>
                    </w:rPr>
                    <w:t>入驻</w:t>
                  </w:r>
                  <w:r>
                    <w:rPr>
                      <w:color w:val="auto"/>
                      <w:szCs w:val="21"/>
                    </w:rPr>
                    <w:t>企业的污水预处理设施</w:t>
                  </w:r>
                  <w:r>
                    <w:rPr>
                      <w:rFonts w:hint="eastAsia"/>
                      <w:color w:val="auto"/>
                      <w:szCs w:val="21"/>
                      <w:lang w:eastAsia="zh-CN"/>
                    </w:rPr>
                    <w:t>正常</w:t>
                  </w:r>
                  <w:r>
                    <w:rPr>
                      <w:color w:val="auto"/>
                      <w:szCs w:val="21"/>
                    </w:rPr>
                    <w:t>运行，保证进入污水处理厂的污水水质满足污水处理厂设计水质的要求，特别是严格控制含有毒有害污染物的废水排放，应根据下游污水处理厂的污水处理工艺和尾水排放标准，从严考虑接管标准</w:t>
                  </w:r>
                </w:p>
              </w:tc>
              <w:tc>
                <w:tcPr>
                  <w:tcW w:w="2429" w:type="dxa"/>
                  <w:tcBorders>
                    <w:tl2br w:val="nil"/>
                    <w:tr2bl w:val="nil"/>
                  </w:tcBorders>
                  <w:vAlign w:val="center"/>
                </w:tcPr>
                <w:p>
                  <w:pPr>
                    <w:adjustRightInd w:val="0"/>
                    <w:snapToGrid w:val="0"/>
                    <w:jc w:val="center"/>
                    <w:rPr>
                      <w:rFonts w:hint="default" w:eastAsia="宋体"/>
                      <w:color w:val="auto"/>
                      <w:szCs w:val="21"/>
                      <w:lang w:val="en-US" w:eastAsia="zh-CN"/>
                    </w:rPr>
                  </w:pPr>
                  <w:r>
                    <w:rPr>
                      <w:color w:val="auto"/>
                      <w:szCs w:val="21"/>
                    </w:rPr>
                    <w:t>本项目生活污水</w:t>
                  </w:r>
                  <w:r>
                    <w:rPr>
                      <w:rFonts w:hint="eastAsia"/>
                      <w:color w:val="auto"/>
                      <w:szCs w:val="21"/>
                      <w:lang w:val="en-US" w:eastAsia="zh-CN"/>
                    </w:rPr>
                    <w:t>依托园区化粪池处理后</w:t>
                  </w:r>
                  <w:r>
                    <w:rPr>
                      <w:color w:val="auto"/>
                      <w:sz w:val="21"/>
                      <w:szCs w:val="21"/>
                    </w:rPr>
                    <w:t>经市政管网排至泾河新城第二污水处理厂进行处理</w:t>
                  </w:r>
                  <w:r>
                    <w:rPr>
                      <w:rFonts w:hint="eastAsia"/>
                      <w:color w:val="auto"/>
                      <w:sz w:val="21"/>
                      <w:szCs w:val="21"/>
                      <w:lang w:eastAsia="zh-CN"/>
                    </w:rPr>
                    <w:t>，</w:t>
                  </w:r>
                  <w:r>
                    <w:rPr>
                      <w:rFonts w:hint="eastAsia"/>
                      <w:color w:val="auto"/>
                      <w:sz w:val="21"/>
                      <w:szCs w:val="21"/>
                      <w:lang w:val="en-US" w:eastAsia="zh-CN"/>
                    </w:rPr>
                    <w:t>生活污水不含有毒有害污染物，对污水处理厂处理工艺不造成冲击</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restart"/>
                  <w:tcBorders>
                    <w:tl2br w:val="nil"/>
                    <w:tr2bl w:val="nil"/>
                  </w:tcBorders>
                  <w:vAlign w:val="center"/>
                </w:tcPr>
                <w:p>
                  <w:pPr>
                    <w:kinsoku w:val="0"/>
                    <w:overflowPunct w:val="0"/>
                    <w:adjustRightInd w:val="0"/>
                    <w:snapToGrid w:val="0"/>
                    <w:jc w:val="center"/>
                    <w:rPr>
                      <w:color w:val="auto"/>
                      <w:szCs w:val="21"/>
                    </w:rPr>
                  </w:pPr>
                  <w:r>
                    <w:rPr>
                      <w:color w:val="auto"/>
                      <w:szCs w:val="21"/>
                    </w:rPr>
                    <w:t>陕西省西咸新区生态环境局关于《西咸新区泾河新城分区规划（2016-2035）环境影响报告书》审查意见的函（陕西咸环函〔2021〕41号）</w:t>
                  </w:r>
                </w:p>
              </w:tc>
              <w:tc>
                <w:tcPr>
                  <w:tcW w:w="3730" w:type="dxa"/>
                  <w:tcBorders>
                    <w:tl2br w:val="nil"/>
                    <w:tr2bl w:val="nil"/>
                  </w:tcBorders>
                  <w:vAlign w:val="center"/>
                </w:tcPr>
                <w:p>
                  <w:pPr>
                    <w:adjustRightInd w:val="0"/>
                    <w:snapToGrid w:val="0"/>
                    <w:jc w:val="center"/>
                    <w:rPr>
                      <w:color w:val="auto"/>
                      <w:szCs w:val="21"/>
                    </w:rPr>
                  </w:pPr>
                  <w:r>
                    <w:rPr>
                      <w:color w:val="auto"/>
                      <w:szCs w:val="21"/>
                      <w:highlight w:val="none"/>
                    </w:rPr>
                    <w:t>加强规划引导，牢固树立生态优先、绿色发展理念，坚持创新城市发展方式，推动城市与产业协调发展。严格落实生态保护红线、环境质量底线、资源利用上线和生态环境准入清单管控要求。强化“三线一单”在优化布局、控制规模及对项目环境准入的强制约束作用。限制大气污染物及水污染物排放量大的项目入区。引进项目的生产工艺、设备、污染治理技术，以及单位产品能耗、物耗、污染物排放和资源利用率等达到同行业先进水平，落实《报告书》提出的生态环境保护要求。</w:t>
                  </w:r>
                </w:p>
              </w:tc>
              <w:tc>
                <w:tcPr>
                  <w:tcW w:w="2429" w:type="dxa"/>
                  <w:tcBorders>
                    <w:tl2br w:val="nil"/>
                    <w:tr2bl w:val="nil"/>
                  </w:tcBorders>
                  <w:vAlign w:val="center"/>
                </w:tcPr>
                <w:p>
                  <w:pPr>
                    <w:adjustRightInd w:val="0"/>
                    <w:snapToGrid w:val="0"/>
                    <w:jc w:val="center"/>
                    <w:rPr>
                      <w:color w:val="auto"/>
                      <w:szCs w:val="21"/>
                    </w:rPr>
                  </w:pPr>
                  <w:r>
                    <w:rPr>
                      <w:color w:val="auto"/>
                      <w:szCs w:val="21"/>
                    </w:rPr>
                    <w:t>本项目符合泾河新城产业规划，拟建地属于西安市生态环境管控单元中的重点管控单元，并符合《西安市人民政府关于印发“三线一单”生态环境分区管控方案的通知》（市政发</w:t>
                  </w:r>
                  <w:r>
                    <w:rPr>
                      <w:rFonts w:hint="eastAsia"/>
                      <w:color w:val="auto"/>
                      <w:szCs w:val="21"/>
                      <w:lang w:eastAsia="zh-CN"/>
                    </w:rPr>
                    <w:t>〔</w:t>
                  </w:r>
                  <w:r>
                    <w:rPr>
                      <w:color w:val="auto"/>
                      <w:szCs w:val="21"/>
                    </w:rPr>
                    <w:t>2021</w:t>
                  </w:r>
                  <w:r>
                    <w:rPr>
                      <w:rFonts w:hint="eastAsia"/>
                      <w:color w:val="auto"/>
                      <w:szCs w:val="21"/>
                      <w:lang w:eastAsia="zh-CN"/>
                    </w:rPr>
                    <w:t>〕</w:t>
                  </w:r>
                  <w:r>
                    <w:rPr>
                      <w:color w:val="auto"/>
                      <w:szCs w:val="21"/>
                    </w:rPr>
                    <w:t>22号）中的准入要求。项目不属于大气污染物和水污染物排放量大的项目，采用</w:t>
                  </w:r>
                  <w:r>
                    <w:rPr>
                      <w:rFonts w:hint="eastAsia"/>
                      <w:color w:val="auto"/>
                      <w:szCs w:val="21"/>
                      <w:lang w:val="en-US" w:eastAsia="zh-CN"/>
                    </w:rPr>
                    <w:t>成熟的生产技术和先进设备</w:t>
                  </w:r>
                  <w:r>
                    <w:rPr>
                      <w:color w:val="auto"/>
                      <w:szCs w:val="21"/>
                    </w:rPr>
                    <w:t>。</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rPr>
                  </w:pPr>
                  <w:r>
                    <w:rPr>
                      <w:color w:val="auto"/>
                      <w:szCs w:val="21"/>
                    </w:rPr>
                    <w:t>严守环境质量底线，落实污染物总量管控要求。根据国家、陕西省、西咸新区有关大气、水、土壤污染防治行动计划相关要求，采取有效措施减少主要污染物排放总量，实现区域环境质量改善目标。</w:t>
                  </w:r>
                </w:p>
              </w:tc>
              <w:tc>
                <w:tcPr>
                  <w:tcW w:w="2429" w:type="dxa"/>
                  <w:tcBorders>
                    <w:tl2br w:val="nil"/>
                    <w:tr2bl w:val="nil"/>
                  </w:tcBorders>
                  <w:vAlign w:val="center"/>
                </w:tcPr>
                <w:p>
                  <w:pPr>
                    <w:kinsoku w:val="0"/>
                    <w:overflowPunct w:val="0"/>
                    <w:adjustRightInd w:val="0"/>
                    <w:snapToGrid w:val="0"/>
                    <w:jc w:val="center"/>
                    <w:rPr>
                      <w:color w:val="auto"/>
                      <w:szCs w:val="21"/>
                      <w:highlight w:val="none"/>
                    </w:rPr>
                  </w:pPr>
                  <w:r>
                    <w:rPr>
                      <w:color w:val="auto"/>
                      <w:szCs w:val="21"/>
                      <w:highlight w:val="none"/>
                    </w:rPr>
                    <w:t>本项目</w:t>
                  </w:r>
                  <w:r>
                    <w:rPr>
                      <w:rFonts w:hint="eastAsia"/>
                      <w:color w:val="auto"/>
                      <w:szCs w:val="21"/>
                      <w:highlight w:val="none"/>
                      <w:lang w:val="en-US" w:eastAsia="zh-CN"/>
                    </w:rPr>
                    <w:t>产生的非甲烷总烃经设备收集并通过二级活性炭处理后达标排放；</w:t>
                  </w:r>
                  <w:r>
                    <w:rPr>
                      <w:color w:val="auto"/>
                      <w:szCs w:val="21"/>
                      <w:highlight w:val="none"/>
                    </w:rPr>
                    <w:t>生活污水</w:t>
                  </w:r>
                  <w:r>
                    <w:rPr>
                      <w:rFonts w:hint="eastAsia"/>
                      <w:color w:val="auto"/>
                      <w:szCs w:val="21"/>
                      <w:highlight w:val="none"/>
                      <w:lang w:val="en-US" w:eastAsia="zh-CN"/>
                    </w:rPr>
                    <w:t>依托园区化粪池处理后</w:t>
                  </w:r>
                  <w:r>
                    <w:rPr>
                      <w:color w:val="auto"/>
                      <w:sz w:val="21"/>
                      <w:szCs w:val="21"/>
                      <w:highlight w:val="none"/>
                    </w:rPr>
                    <w:t>经市政管网排至泾河新城第二污水处理厂进行处理</w:t>
                  </w:r>
                  <w:r>
                    <w:rPr>
                      <w:rFonts w:hint="eastAsia"/>
                      <w:color w:val="auto"/>
                      <w:szCs w:val="21"/>
                      <w:highlight w:val="none"/>
                      <w:lang w:val="en-US" w:eastAsia="zh-CN"/>
                    </w:rPr>
                    <w:t>；租赁的厂房地面敷设20cm厚的混凝土层</w:t>
                  </w:r>
                  <w:r>
                    <w:rPr>
                      <w:color w:val="auto"/>
                      <w:szCs w:val="21"/>
                      <w:highlight w:val="none"/>
                    </w:rPr>
                    <w:t>。项目运营过程中污染物排放对区域环境质量的影响较小。</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rPr>
                  </w:pPr>
                  <w:r>
                    <w:rPr>
                      <w:color w:val="auto"/>
                      <w:szCs w:val="21"/>
                    </w:rPr>
                    <w:t>结合区域大气环境质量改善目标的要求，进一步优化能源结构、提升清洁能源使用率，加强挥发性有机物产生企业等监督管理，强化移动源污染防治，提高企业清洁生产水平。</w:t>
                  </w:r>
                </w:p>
              </w:tc>
              <w:tc>
                <w:tcPr>
                  <w:tcW w:w="2429" w:type="dxa"/>
                  <w:tcBorders>
                    <w:tl2br w:val="nil"/>
                    <w:tr2bl w:val="nil"/>
                  </w:tcBorders>
                  <w:vAlign w:val="center"/>
                </w:tcPr>
                <w:p>
                  <w:pPr>
                    <w:kinsoku w:val="0"/>
                    <w:overflowPunct w:val="0"/>
                    <w:adjustRightInd w:val="0"/>
                    <w:snapToGrid w:val="0"/>
                    <w:jc w:val="center"/>
                    <w:rPr>
                      <w:color w:val="auto"/>
                      <w:szCs w:val="21"/>
                      <w:highlight w:val="none"/>
                    </w:rPr>
                  </w:pPr>
                  <w:r>
                    <w:rPr>
                      <w:color w:val="auto"/>
                      <w:szCs w:val="21"/>
                      <w:highlight w:val="none"/>
                    </w:rPr>
                    <w:t>本项目能源消耗是电能，</w:t>
                  </w:r>
                  <w:r>
                    <w:rPr>
                      <w:rFonts w:hint="eastAsia"/>
                      <w:color w:val="auto"/>
                      <w:szCs w:val="21"/>
                      <w:highlight w:val="none"/>
                      <w:lang w:val="en-US" w:eastAsia="zh-CN"/>
                    </w:rPr>
                    <w:t>产生的非甲烷总烃经收集并通过二级活性炭处理后达标排放</w:t>
                  </w:r>
                  <w:r>
                    <w:rPr>
                      <w:color w:val="auto"/>
                      <w:szCs w:val="21"/>
                      <w:highlight w:val="none"/>
                    </w:rPr>
                    <w:t>。</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rPr>
                  </w:pPr>
                  <w:r>
                    <w:rPr>
                      <w:color w:val="auto"/>
                      <w:szCs w:val="21"/>
                    </w:rPr>
                    <w:t>结合区域水环境质量改善目标的要求，加快污水处理厂及市政配套管网建设，实施雨污分流，强化污水处理厂监督管理，确保达标排放。</w:t>
                  </w:r>
                </w:p>
              </w:tc>
              <w:tc>
                <w:tcPr>
                  <w:tcW w:w="2429" w:type="dxa"/>
                  <w:tcBorders>
                    <w:tl2br w:val="nil"/>
                    <w:tr2bl w:val="nil"/>
                  </w:tcBorders>
                  <w:vAlign w:val="center"/>
                </w:tcPr>
                <w:p>
                  <w:pPr>
                    <w:kinsoku w:val="0"/>
                    <w:overflowPunct w:val="0"/>
                    <w:adjustRightInd w:val="0"/>
                    <w:snapToGrid w:val="0"/>
                    <w:jc w:val="center"/>
                    <w:rPr>
                      <w:color w:val="auto"/>
                      <w:szCs w:val="21"/>
                      <w:highlight w:val="none"/>
                    </w:rPr>
                  </w:pPr>
                  <w:r>
                    <w:rPr>
                      <w:color w:val="auto"/>
                      <w:szCs w:val="21"/>
                      <w:highlight w:val="none"/>
                    </w:rPr>
                    <w:t>本项目生活污水</w:t>
                  </w:r>
                  <w:r>
                    <w:rPr>
                      <w:rFonts w:hint="eastAsia"/>
                      <w:color w:val="auto"/>
                      <w:szCs w:val="21"/>
                      <w:highlight w:val="none"/>
                      <w:lang w:val="en-US" w:eastAsia="zh-CN"/>
                    </w:rPr>
                    <w:t>依托园区化粪池处理后</w:t>
                  </w:r>
                  <w:r>
                    <w:rPr>
                      <w:color w:val="auto"/>
                      <w:sz w:val="21"/>
                      <w:szCs w:val="21"/>
                      <w:highlight w:val="none"/>
                    </w:rPr>
                    <w:t>经市政管网排至泾河新城第二污水处理厂进行处理</w:t>
                  </w:r>
                  <w:r>
                    <w:rPr>
                      <w:color w:val="auto"/>
                      <w:szCs w:val="21"/>
                      <w:highlight w:val="none"/>
                    </w:rPr>
                    <w:t>。</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1" w:type="dxa"/>
                  <w:vMerge w:val="continue"/>
                  <w:tcBorders>
                    <w:tl2br w:val="nil"/>
                    <w:tr2bl w:val="nil"/>
                  </w:tcBorders>
                  <w:vAlign w:val="center"/>
                </w:tcPr>
                <w:p>
                  <w:pPr>
                    <w:jc w:val="center"/>
                    <w:rPr>
                      <w:color w:val="auto"/>
                      <w:szCs w:val="21"/>
                    </w:rPr>
                  </w:pPr>
                </w:p>
              </w:tc>
              <w:tc>
                <w:tcPr>
                  <w:tcW w:w="3730" w:type="dxa"/>
                  <w:tcBorders>
                    <w:tl2br w:val="nil"/>
                    <w:tr2bl w:val="nil"/>
                  </w:tcBorders>
                  <w:vAlign w:val="center"/>
                </w:tcPr>
                <w:p>
                  <w:pPr>
                    <w:adjustRightInd w:val="0"/>
                    <w:snapToGrid w:val="0"/>
                    <w:jc w:val="center"/>
                    <w:rPr>
                      <w:color w:val="auto"/>
                      <w:szCs w:val="21"/>
                      <w:highlight w:val="none"/>
                    </w:rPr>
                  </w:pPr>
                  <w:r>
                    <w:rPr>
                      <w:color w:val="auto"/>
                      <w:szCs w:val="21"/>
                      <w:highlight w:val="none"/>
                    </w:rPr>
                    <w:t>完善产业规划内容，进一步细化规划及相关产业版块布局，对现有版块和布局不相符合的企业提出调整方案，对入区项目严格把关，优先引入节水型企业。</w:t>
                  </w:r>
                </w:p>
              </w:tc>
              <w:tc>
                <w:tcPr>
                  <w:tcW w:w="2429"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val="0"/>
                    <w:snapToGrid w:val="0"/>
                    <w:jc w:val="center"/>
                    <w:textAlignment w:val="auto"/>
                    <w:rPr>
                      <w:color w:val="auto"/>
                      <w:szCs w:val="21"/>
                      <w:highlight w:val="none"/>
                    </w:rPr>
                  </w:pPr>
                  <w:r>
                    <w:rPr>
                      <w:color w:val="auto"/>
                      <w:szCs w:val="21"/>
                      <w:highlight w:val="none"/>
                    </w:rPr>
                    <w:t>本项目</w:t>
                  </w:r>
                  <w:r>
                    <w:rPr>
                      <w:rFonts w:hint="eastAsia"/>
                      <w:color w:val="auto"/>
                      <w:szCs w:val="21"/>
                      <w:highlight w:val="none"/>
                      <w:lang w:val="en-US" w:eastAsia="zh-CN"/>
                    </w:rPr>
                    <w:t>用水主要为生活用水，用水量约200m</w:t>
                  </w:r>
                  <w:r>
                    <w:rPr>
                      <w:rFonts w:hint="eastAsia"/>
                      <w:color w:val="auto"/>
                      <w:szCs w:val="21"/>
                      <w:highlight w:val="none"/>
                      <w:vertAlign w:val="superscript"/>
                      <w:lang w:val="en-US" w:eastAsia="zh-CN"/>
                    </w:rPr>
                    <w:t>3</w:t>
                  </w:r>
                  <w:r>
                    <w:rPr>
                      <w:rFonts w:hint="eastAsia"/>
                      <w:color w:val="auto"/>
                      <w:szCs w:val="21"/>
                      <w:highlight w:val="none"/>
                      <w:lang w:val="en-US" w:eastAsia="zh-CN"/>
                    </w:rPr>
                    <w:t>/a，用水量很小，且</w:t>
                  </w:r>
                  <w:r>
                    <w:rPr>
                      <w:color w:val="auto"/>
                      <w:szCs w:val="21"/>
                      <w:highlight w:val="none"/>
                    </w:rPr>
                    <w:t>生活污水</w:t>
                  </w:r>
                  <w:r>
                    <w:rPr>
                      <w:rFonts w:hint="eastAsia"/>
                      <w:color w:val="auto"/>
                      <w:szCs w:val="21"/>
                      <w:highlight w:val="none"/>
                      <w:lang w:val="en-US" w:eastAsia="zh-CN"/>
                    </w:rPr>
                    <w:t>依托园区化粪池处理后</w:t>
                  </w:r>
                  <w:r>
                    <w:rPr>
                      <w:color w:val="auto"/>
                      <w:sz w:val="21"/>
                      <w:szCs w:val="21"/>
                      <w:highlight w:val="none"/>
                    </w:rPr>
                    <w:t>经市政管网排至泾河新城第二污水处理厂进行处理</w:t>
                  </w:r>
                  <w:r>
                    <w:rPr>
                      <w:rFonts w:hint="eastAsia"/>
                      <w:color w:val="auto"/>
                      <w:szCs w:val="21"/>
                      <w:highlight w:val="none"/>
                    </w:rPr>
                    <w:t>。</w:t>
                  </w:r>
                </w:p>
              </w:tc>
              <w:tc>
                <w:tcPr>
                  <w:tcW w:w="863" w:type="dxa"/>
                  <w:tcBorders>
                    <w:tl2br w:val="nil"/>
                    <w:tr2bl w:val="nil"/>
                  </w:tcBorders>
                  <w:vAlign w:val="center"/>
                </w:tcPr>
                <w:p>
                  <w:pPr>
                    <w:kinsoku w:val="0"/>
                    <w:overflowPunct w:val="0"/>
                    <w:adjustRightInd w:val="0"/>
                    <w:snapToGrid w:val="0"/>
                    <w:jc w:val="center"/>
                    <w:rPr>
                      <w:color w:val="auto"/>
                      <w:szCs w:val="21"/>
                    </w:rPr>
                  </w:pPr>
                  <w:r>
                    <w:rPr>
                      <w:color w:val="auto"/>
                      <w:szCs w:val="21"/>
                    </w:rPr>
                    <w:t>符合</w:t>
                  </w:r>
                </w:p>
              </w:tc>
            </w:tr>
          </w:tbl>
          <w:p>
            <w:pPr>
              <w:adjustRightInd w:val="0"/>
              <w:spacing w:line="360" w:lineRule="auto"/>
              <w:rPr>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675" w:type="dxa"/>
            <w:vAlign w:val="center"/>
          </w:tcPr>
          <w:p>
            <w:pPr>
              <w:autoSpaceDE w:val="0"/>
              <w:autoSpaceDN w:val="0"/>
              <w:adjustRightInd w:val="0"/>
              <w:snapToGrid w:val="0"/>
              <w:jc w:val="center"/>
              <w:rPr>
                <w:color w:val="auto"/>
                <w:kern w:val="0"/>
                <w:sz w:val="24"/>
              </w:rPr>
            </w:pPr>
            <w:r>
              <w:rPr>
                <w:color w:val="auto"/>
                <w:kern w:val="0"/>
                <w:sz w:val="24"/>
              </w:rPr>
              <w:t>其他符合性分析</w:t>
            </w:r>
          </w:p>
        </w:tc>
        <w:tc>
          <w:tcPr>
            <w:tcW w:w="8195" w:type="dxa"/>
            <w:gridSpan w:val="4"/>
            <w:vAlign w:val="center"/>
          </w:tcPr>
          <w:p>
            <w:pPr>
              <w:spacing w:line="360" w:lineRule="auto"/>
              <w:ind w:firstLine="482" w:firstLineChars="200"/>
              <w:rPr>
                <w:b/>
                <w:bCs/>
                <w:color w:val="auto"/>
                <w:sz w:val="24"/>
              </w:rPr>
            </w:pPr>
            <w:r>
              <w:rPr>
                <w:b/>
                <w:bCs/>
                <w:color w:val="auto"/>
                <w:sz w:val="24"/>
              </w:rPr>
              <w:t>1、产业政策符合性</w:t>
            </w:r>
            <w:r>
              <w:rPr>
                <w:rFonts w:hint="eastAsia"/>
                <w:b/>
                <w:bCs/>
                <w:color w:val="auto"/>
                <w:sz w:val="24"/>
              </w:rPr>
              <w:t>分析</w:t>
            </w:r>
          </w:p>
          <w:p>
            <w:pPr>
              <w:spacing w:line="360" w:lineRule="auto"/>
              <w:ind w:firstLine="480" w:firstLineChars="200"/>
              <w:rPr>
                <w:bCs/>
                <w:color w:val="auto"/>
                <w:sz w:val="24"/>
              </w:rPr>
            </w:pPr>
            <w:r>
              <w:rPr>
                <w:rFonts w:hint="eastAsia"/>
                <w:color w:val="auto"/>
                <w:kern w:val="0"/>
                <w:sz w:val="24"/>
                <w:szCs w:val="24"/>
              </w:rPr>
              <w:t>本项目属于</w:t>
            </w:r>
            <w:r>
              <w:rPr>
                <w:rFonts w:hint="eastAsia"/>
                <w:color w:val="auto"/>
                <w:sz w:val="24"/>
                <w:lang w:val="en-US" w:eastAsia="zh-CN"/>
              </w:rPr>
              <w:t>特种玻璃制造</w:t>
            </w:r>
            <w:r>
              <w:rPr>
                <w:rFonts w:hint="eastAsia"/>
                <w:color w:val="auto"/>
                <w:kern w:val="0"/>
                <w:sz w:val="24"/>
                <w:szCs w:val="24"/>
              </w:rPr>
              <w:t>，根据《产业结构调整指导目录（20</w:t>
            </w:r>
            <w:r>
              <w:rPr>
                <w:rFonts w:hint="eastAsia"/>
                <w:color w:val="auto"/>
                <w:kern w:val="0"/>
                <w:sz w:val="24"/>
                <w:szCs w:val="24"/>
                <w:lang w:val="en-US" w:eastAsia="zh-CN"/>
              </w:rPr>
              <w:t>24</w:t>
            </w:r>
            <w:r>
              <w:rPr>
                <w:rFonts w:hint="eastAsia"/>
                <w:color w:val="auto"/>
                <w:kern w:val="0"/>
                <w:sz w:val="24"/>
                <w:szCs w:val="24"/>
              </w:rPr>
              <w:t>年本）》，本项目不属于限制类和淘汰类，属于允许类。</w:t>
            </w:r>
            <w:r>
              <w:rPr>
                <w:bCs/>
                <w:color w:val="auto"/>
                <w:sz w:val="24"/>
              </w:rPr>
              <w:t>根据《市场准入负面清单》（2022年版），本项目不属于禁止准入类及许可准入类事项，可视为允许类。</w:t>
            </w:r>
          </w:p>
          <w:p>
            <w:pPr>
              <w:spacing w:line="360" w:lineRule="auto"/>
              <w:ind w:firstLine="480" w:firstLineChars="200"/>
              <w:rPr>
                <w:bCs/>
                <w:color w:val="auto"/>
                <w:sz w:val="24"/>
              </w:rPr>
            </w:pPr>
            <w:r>
              <w:rPr>
                <w:bCs/>
                <w:color w:val="auto"/>
                <w:sz w:val="24"/>
              </w:rPr>
              <w:t>同时该项目已取得陕西省西咸新区泾河新城管理委员会出具的备案确认书，项目代</w:t>
            </w:r>
            <w:r>
              <w:rPr>
                <w:bCs/>
                <w:color w:val="auto"/>
                <w:sz w:val="24"/>
                <w:highlight w:val="none"/>
              </w:rPr>
              <w:t>码：</w:t>
            </w:r>
            <w:r>
              <w:rPr>
                <w:rFonts w:hint="eastAsia"/>
                <w:color w:val="auto"/>
                <w:sz w:val="24"/>
                <w:highlight w:val="none"/>
                <w:lang w:val="en-US" w:eastAsia="zh-CN"/>
              </w:rPr>
              <w:t>2404-611206-04-05-206881</w:t>
            </w:r>
            <w:r>
              <w:rPr>
                <w:bCs/>
                <w:color w:val="auto"/>
                <w:sz w:val="24"/>
                <w:highlight w:val="none"/>
              </w:rPr>
              <w:t>，见附件2</w:t>
            </w:r>
            <w:r>
              <w:rPr>
                <w:bCs/>
                <w:color w:val="auto"/>
                <w:sz w:val="24"/>
              </w:rPr>
              <w:t>。</w:t>
            </w:r>
          </w:p>
          <w:p>
            <w:pPr>
              <w:spacing w:line="360" w:lineRule="auto"/>
              <w:ind w:firstLine="480" w:firstLineChars="200"/>
              <w:rPr>
                <w:bCs/>
                <w:color w:val="auto"/>
                <w:sz w:val="24"/>
              </w:rPr>
            </w:pPr>
            <w:r>
              <w:rPr>
                <w:bCs/>
                <w:color w:val="auto"/>
                <w:sz w:val="24"/>
              </w:rPr>
              <w:t>因此，本项目符合国家及地方产业政策要求。</w:t>
            </w:r>
          </w:p>
          <w:p>
            <w:pPr>
              <w:numPr>
                <w:ilvl w:val="0"/>
                <w:numId w:val="1"/>
              </w:numPr>
              <w:spacing w:line="360" w:lineRule="auto"/>
              <w:rPr>
                <w:b/>
                <w:color w:val="auto"/>
                <w:sz w:val="24"/>
              </w:rPr>
            </w:pPr>
            <w:r>
              <w:rPr>
                <w:b/>
                <w:color w:val="auto"/>
                <w:sz w:val="24"/>
              </w:rPr>
              <w:t>“三线一单”符合性分析</w:t>
            </w:r>
          </w:p>
          <w:p>
            <w:pPr>
              <w:spacing w:line="360" w:lineRule="auto"/>
              <w:ind w:firstLine="480" w:firstLineChars="200"/>
              <w:rPr>
                <w:color w:val="auto"/>
                <w:sz w:val="24"/>
              </w:rPr>
            </w:pPr>
            <w:r>
              <w:rPr>
                <w:color w:val="auto"/>
                <w:sz w:val="24"/>
              </w:rPr>
              <w:t>（1）“三线一单”符合性分析</w:t>
            </w:r>
          </w:p>
          <w:p>
            <w:pPr>
              <w:autoSpaceDE w:val="0"/>
              <w:autoSpaceDN w:val="0"/>
              <w:adjustRightInd w:val="0"/>
              <w:snapToGrid w:val="0"/>
              <w:spacing w:line="360" w:lineRule="auto"/>
              <w:ind w:firstLine="480" w:firstLineChars="200"/>
              <w:jc w:val="left"/>
              <w:rPr>
                <w:color w:val="auto"/>
                <w:sz w:val="24"/>
              </w:rPr>
            </w:pPr>
            <w:r>
              <w:rPr>
                <w:color w:val="auto"/>
                <w:sz w:val="24"/>
              </w:rPr>
              <w:t>根据陕西省人民政府关于加快实施“三线一单”生态环境分区管控的意见（陕政发</w:t>
            </w:r>
            <w:r>
              <w:rPr>
                <w:rFonts w:hint="eastAsia"/>
                <w:color w:val="auto"/>
                <w:sz w:val="24"/>
                <w:lang w:eastAsia="zh-CN"/>
              </w:rPr>
              <w:t>〔</w:t>
            </w:r>
            <w:r>
              <w:rPr>
                <w:color w:val="auto"/>
                <w:sz w:val="24"/>
              </w:rPr>
              <w:t>2020</w:t>
            </w:r>
            <w:r>
              <w:rPr>
                <w:rFonts w:hint="eastAsia"/>
                <w:color w:val="auto"/>
                <w:sz w:val="24"/>
                <w:lang w:eastAsia="zh-CN"/>
              </w:rPr>
              <w:t>〕</w:t>
            </w:r>
            <w:r>
              <w:rPr>
                <w:color w:val="auto"/>
                <w:sz w:val="24"/>
              </w:rPr>
              <w:t>11号），本项目建设与陕西省“三线一单”符合性分析见表1-2。</w:t>
            </w:r>
          </w:p>
          <w:p>
            <w:pPr>
              <w:autoSpaceDE w:val="0"/>
              <w:autoSpaceDN w:val="0"/>
              <w:adjustRightInd w:val="0"/>
              <w:snapToGrid w:val="0"/>
              <w:jc w:val="center"/>
              <w:rPr>
                <w:b/>
                <w:bCs/>
                <w:color w:val="auto"/>
                <w:szCs w:val="21"/>
              </w:rPr>
            </w:pPr>
            <w:r>
              <w:rPr>
                <w:b/>
                <w:bCs/>
                <w:color w:val="auto"/>
                <w:szCs w:val="21"/>
              </w:rPr>
              <w:t>表1-2  项目建设与陕西省“三线一单”符合性分析表</w:t>
            </w:r>
          </w:p>
          <w:tbl>
            <w:tblPr>
              <w:tblStyle w:val="29"/>
              <w:tblW w:w="79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740"/>
              <w:gridCol w:w="4892"/>
              <w:gridCol w:w="1693"/>
              <w:gridCol w:w="648"/>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 w:val="0"/>
                      <w:bCs/>
                      <w:color w:val="auto"/>
                      <w:sz w:val="21"/>
                      <w:szCs w:val="21"/>
                    </w:rPr>
                  </w:pPr>
                  <w:r>
                    <w:rPr>
                      <w:b w:val="0"/>
                      <w:bCs/>
                      <w:color w:val="auto"/>
                      <w:sz w:val="21"/>
                      <w:szCs w:val="21"/>
                    </w:rPr>
                    <w:t>“三线一单”</w:t>
                  </w:r>
                </w:p>
              </w:tc>
              <w:tc>
                <w:tcPr>
                  <w:tcW w:w="4892" w:type="dxa"/>
                  <w:tcBorders>
                    <w:tl2br w:val="nil"/>
                    <w:tr2bl w:val="nil"/>
                  </w:tcBorders>
                  <w:vAlign w:val="center"/>
                </w:tcPr>
                <w:p>
                  <w:pPr>
                    <w:pStyle w:val="67"/>
                    <w:keepNext w:val="0"/>
                    <w:keepLines w:val="0"/>
                    <w:pageBreakBefore w:val="0"/>
                    <w:widowControl w:val="0"/>
                    <w:kinsoku/>
                    <w:wordWrap/>
                    <w:overflowPunct/>
                    <w:topLinePunct w:val="0"/>
                    <w:bidi w:val="0"/>
                    <w:adjustRightInd w:val="0"/>
                    <w:snapToGrid w:val="0"/>
                    <w:spacing w:before="0" w:beforeAutospacing="0" w:line="240" w:lineRule="auto"/>
                    <w:ind w:left="0" w:leftChars="0" w:right="0" w:rightChars="0"/>
                    <w:rPr>
                      <w:rFonts w:eastAsia="宋体" w:cs="Times New Roman"/>
                      <w:b w:val="0"/>
                      <w:bCs/>
                      <w:color w:val="auto"/>
                      <w:sz w:val="21"/>
                      <w:szCs w:val="21"/>
                    </w:rPr>
                  </w:pPr>
                  <w:r>
                    <w:rPr>
                      <w:rFonts w:eastAsia="宋体" w:cs="Times New Roman"/>
                      <w:b w:val="0"/>
                      <w:bCs/>
                      <w:color w:val="auto"/>
                      <w:sz w:val="21"/>
                      <w:szCs w:val="21"/>
                    </w:rPr>
                    <w:t>相关要求</w:t>
                  </w:r>
                </w:p>
              </w:tc>
              <w:tc>
                <w:tcPr>
                  <w:tcW w:w="1693"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 w:val="0"/>
                      <w:bCs/>
                      <w:color w:val="auto"/>
                      <w:sz w:val="21"/>
                      <w:szCs w:val="21"/>
                    </w:rPr>
                  </w:pPr>
                  <w:r>
                    <w:rPr>
                      <w:b w:val="0"/>
                      <w:bCs/>
                      <w:color w:val="auto"/>
                      <w:sz w:val="21"/>
                      <w:szCs w:val="21"/>
                    </w:rPr>
                    <w:t>本项目情况</w:t>
                  </w:r>
                </w:p>
              </w:tc>
              <w:tc>
                <w:tcPr>
                  <w:tcW w:w="648"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 w:val="0"/>
                      <w:bCs/>
                      <w:color w:val="auto"/>
                      <w:sz w:val="21"/>
                      <w:szCs w:val="21"/>
                    </w:rPr>
                  </w:pPr>
                  <w:r>
                    <w:rPr>
                      <w:b w:val="0"/>
                      <w:bCs/>
                      <w:color w:val="auto"/>
                      <w:sz w:val="21"/>
                      <w:szCs w:val="21"/>
                    </w:rPr>
                    <w:t>判定</w:t>
                  </w:r>
                </w:p>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 w:val="0"/>
                      <w:bCs/>
                      <w:color w:val="auto"/>
                      <w:sz w:val="21"/>
                      <w:szCs w:val="21"/>
                    </w:rPr>
                  </w:pPr>
                  <w:r>
                    <w:rPr>
                      <w:b w:val="0"/>
                      <w:bCs/>
                      <w:color w:val="auto"/>
                      <w:sz w:val="21"/>
                      <w:szCs w:val="21"/>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
                      <w:color w:val="auto"/>
                      <w:sz w:val="21"/>
                      <w:szCs w:val="21"/>
                    </w:rPr>
                  </w:pPr>
                  <w:r>
                    <w:rPr>
                      <w:bCs/>
                      <w:color w:val="auto"/>
                      <w:sz w:val="21"/>
                      <w:szCs w:val="21"/>
                    </w:rPr>
                    <w:t>生态保护红线</w:t>
                  </w:r>
                </w:p>
              </w:tc>
              <w:tc>
                <w:tcPr>
                  <w:tcW w:w="4892" w:type="dxa"/>
                  <w:tcBorders>
                    <w:tl2br w:val="nil"/>
                    <w:tr2bl w:val="nil"/>
                  </w:tcBorders>
                  <w:vAlign w:val="center"/>
                </w:tcPr>
                <w:p>
                  <w:pPr>
                    <w:pStyle w:val="83"/>
                    <w:keepNext w:val="0"/>
                    <w:keepLines w:val="0"/>
                    <w:pageBreakBefore w:val="0"/>
                    <w:widowControl w:val="0"/>
                    <w:kinsoku/>
                    <w:wordWrap/>
                    <w:overflowPunct/>
                    <w:topLinePunct w:val="0"/>
                    <w:bidi w:val="0"/>
                    <w:adjustRightInd w:val="0"/>
                    <w:snapToGrid w:val="0"/>
                    <w:spacing w:before="0" w:beforeAutospacing="0" w:after="0" w:line="240" w:lineRule="auto"/>
                    <w:ind w:left="0" w:leftChars="0" w:right="0" w:rightChars="0" w:firstLine="0" w:firstLineChars="0"/>
                    <w:jc w:val="left"/>
                    <w:textAlignment w:val="bottom"/>
                    <w:rPr>
                      <w:color w:val="auto"/>
                      <w:sz w:val="21"/>
                      <w:szCs w:val="21"/>
                      <w:lang w:val="en-US" w:eastAsia="zh-CN"/>
                    </w:rPr>
                  </w:pPr>
                  <w:r>
                    <w:rPr>
                      <w:color w:val="auto"/>
                      <w:sz w:val="21"/>
                      <w:szCs w:val="21"/>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1693"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rPr>
                      <w:b/>
                      <w:color w:val="auto"/>
                      <w:sz w:val="21"/>
                      <w:szCs w:val="21"/>
                    </w:rPr>
                  </w:pPr>
                  <w:r>
                    <w:rPr>
                      <w:color w:val="auto"/>
                      <w:sz w:val="21"/>
                      <w:szCs w:val="21"/>
                    </w:rPr>
                    <w:t>项目位于西咸新区泾河新城永乐镇，位于重点管控单元</w:t>
                  </w:r>
                  <w:r>
                    <w:rPr>
                      <w:rFonts w:hint="eastAsia"/>
                      <w:color w:val="auto"/>
                      <w:sz w:val="21"/>
                      <w:szCs w:val="21"/>
                      <w:lang w:val="en-US" w:eastAsia="zh-CN"/>
                    </w:rPr>
                    <w:t>11</w:t>
                  </w:r>
                  <w:r>
                    <w:rPr>
                      <w:color w:val="auto"/>
                      <w:sz w:val="21"/>
                      <w:szCs w:val="21"/>
                    </w:rPr>
                    <w:t>范围内</w:t>
                  </w:r>
                  <w:r>
                    <w:rPr>
                      <w:color w:val="auto"/>
                      <w:sz w:val="21"/>
                      <w:szCs w:val="21"/>
                      <w:highlight w:val="none"/>
                    </w:rPr>
                    <w:t>（见图</w:t>
                  </w:r>
                  <w:r>
                    <w:rPr>
                      <w:rFonts w:hint="eastAsia"/>
                      <w:color w:val="auto"/>
                      <w:sz w:val="21"/>
                      <w:szCs w:val="21"/>
                      <w:highlight w:val="none"/>
                      <w:lang w:val="en-US" w:eastAsia="zh-CN"/>
                    </w:rPr>
                    <w:t>1-1</w:t>
                  </w:r>
                  <w:r>
                    <w:rPr>
                      <w:color w:val="auto"/>
                      <w:sz w:val="21"/>
                      <w:szCs w:val="21"/>
                      <w:highlight w:val="none"/>
                    </w:rPr>
                    <w:t>）</w:t>
                  </w:r>
                  <w:r>
                    <w:rPr>
                      <w:rFonts w:hint="eastAsia"/>
                      <w:color w:val="auto"/>
                      <w:sz w:val="21"/>
                      <w:szCs w:val="21"/>
                    </w:rPr>
                    <w:t>。</w:t>
                  </w:r>
                </w:p>
              </w:tc>
              <w:tc>
                <w:tcPr>
                  <w:tcW w:w="648"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bCs/>
                      <w:color w:val="auto"/>
                      <w:sz w:val="21"/>
                      <w:szCs w:val="21"/>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tcBorders>
                    <w:tl2br w:val="nil"/>
                    <w:tr2bl w:val="nil"/>
                  </w:tcBorders>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color w:val="auto"/>
                      <w:sz w:val="21"/>
                      <w:szCs w:val="21"/>
                    </w:rPr>
                  </w:pPr>
                  <w:bookmarkStart w:id="2" w:name="OLE_LINK1" w:colFirst="3" w:colLast="3"/>
                  <w:r>
                    <w:rPr>
                      <w:color w:val="auto"/>
                      <w:sz w:val="21"/>
                      <w:szCs w:val="21"/>
                    </w:rPr>
                    <w:t>环境质量底线</w:t>
                  </w:r>
                </w:p>
              </w:tc>
              <w:tc>
                <w:tcPr>
                  <w:tcW w:w="4892" w:type="dxa"/>
                  <w:tcBorders>
                    <w:tl2br w:val="nil"/>
                    <w:tr2bl w:val="nil"/>
                  </w:tcBorders>
                  <w:vAlign w:val="center"/>
                </w:tcPr>
                <w:p>
                  <w:pPr>
                    <w:pStyle w:val="83"/>
                    <w:keepNext w:val="0"/>
                    <w:keepLines w:val="0"/>
                    <w:pageBreakBefore w:val="0"/>
                    <w:widowControl w:val="0"/>
                    <w:kinsoku/>
                    <w:wordWrap/>
                    <w:overflowPunct/>
                    <w:topLinePunct w:val="0"/>
                    <w:bidi w:val="0"/>
                    <w:adjustRightInd w:val="0"/>
                    <w:snapToGrid w:val="0"/>
                    <w:spacing w:before="0" w:beforeAutospacing="0" w:after="0" w:line="240" w:lineRule="auto"/>
                    <w:ind w:left="0" w:leftChars="0" w:right="0" w:rightChars="0" w:firstLine="0" w:firstLineChars="0"/>
                    <w:jc w:val="left"/>
                    <w:textAlignment w:val="bottom"/>
                    <w:rPr>
                      <w:color w:val="auto"/>
                      <w:sz w:val="21"/>
                      <w:szCs w:val="21"/>
                      <w:lang w:val="en-US" w:eastAsia="zh-CN"/>
                    </w:rPr>
                  </w:pPr>
                  <w:r>
                    <w:rPr>
                      <w:color w:val="auto"/>
                      <w:sz w:val="21"/>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693"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left"/>
                    <w:rPr>
                      <w:color w:val="auto"/>
                      <w:sz w:val="21"/>
                      <w:szCs w:val="21"/>
                    </w:rPr>
                  </w:pPr>
                  <w:r>
                    <w:rPr>
                      <w:rFonts w:hint="eastAsia"/>
                      <w:color w:val="auto"/>
                      <w:sz w:val="21"/>
                      <w:szCs w:val="21"/>
                      <w:lang w:val="en-US" w:eastAsia="zh-CN"/>
                    </w:rPr>
                    <w:t>本项目租赁秦创原（泾河）智造创新产业园现有厂房，</w:t>
                  </w:r>
                  <w:r>
                    <w:rPr>
                      <w:color w:val="auto"/>
                      <w:sz w:val="21"/>
                      <w:szCs w:val="21"/>
                    </w:rPr>
                    <w:t>配备完善的环保设施，污染物均可达标排放，不会对区域环境质量产生明显影响</w:t>
                  </w:r>
                  <w:r>
                    <w:rPr>
                      <w:rFonts w:hint="eastAsia"/>
                      <w:color w:val="auto"/>
                      <w:sz w:val="21"/>
                      <w:szCs w:val="21"/>
                    </w:rPr>
                    <w:t>。</w:t>
                  </w:r>
                </w:p>
              </w:tc>
              <w:tc>
                <w:tcPr>
                  <w:tcW w:w="648" w:type="dxa"/>
                  <w:tcBorders>
                    <w:tl2br w:val="nil"/>
                    <w:tr2bl w:val="nil"/>
                  </w:tcBorders>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color w:val="auto"/>
                      <w:sz w:val="21"/>
                      <w:szCs w:val="21"/>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color w:val="auto"/>
                      <w:kern w:val="0"/>
                      <w:sz w:val="21"/>
                      <w:szCs w:val="21"/>
                    </w:rPr>
                  </w:pPr>
                  <w:r>
                    <w:rPr>
                      <w:color w:val="auto"/>
                      <w:kern w:val="0"/>
                      <w:sz w:val="21"/>
                      <w:szCs w:val="21"/>
                    </w:rPr>
                    <w:t>资源利用上线</w:t>
                  </w:r>
                </w:p>
              </w:tc>
              <w:tc>
                <w:tcPr>
                  <w:tcW w:w="4892" w:type="dxa"/>
                  <w:tcBorders>
                    <w:tl2br w:val="nil"/>
                    <w:tr2bl w:val="nil"/>
                  </w:tcBorders>
                  <w:vAlign w:val="center"/>
                </w:tcPr>
                <w:p>
                  <w:pPr>
                    <w:pStyle w:val="83"/>
                    <w:keepNext w:val="0"/>
                    <w:keepLines w:val="0"/>
                    <w:pageBreakBefore w:val="0"/>
                    <w:widowControl w:val="0"/>
                    <w:kinsoku/>
                    <w:wordWrap/>
                    <w:overflowPunct/>
                    <w:topLinePunct w:val="0"/>
                    <w:bidi w:val="0"/>
                    <w:adjustRightInd w:val="0"/>
                    <w:snapToGrid w:val="0"/>
                    <w:spacing w:before="0" w:beforeAutospacing="0" w:after="0" w:line="240" w:lineRule="auto"/>
                    <w:ind w:left="0" w:leftChars="0" w:right="0" w:rightChars="0" w:firstLine="0" w:firstLineChars="0"/>
                    <w:jc w:val="left"/>
                    <w:textAlignment w:val="bottom"/>
                    <w:rPr>
                      <w:color w:val="auto"/>
                      <w:sz w:val="21"/>
                      <w:szCs w:val="21"/>
                      <w:lang w:val="en-US" w:eastAsia="zh-CN"/>
                    </w:rPr>
                  </w:pPr>
                  <w:r>
                    <w:rPr>
                      <w:color w:val="auto"/>
                      <w:sz w:val="21"/>
                      <w:szCs w:val="21"/>
                    </w:rPr>
                    <w:t>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693"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left"/>
                    <w:rPr>
                      <w:color w:val="auto"/>
                      <w:kern w:val="0"/>
                      <w:sz w:val="21"/>
                      <w:szCs w:val="21"/>
                    </w:rPr>
                  </w:pPr>
                  <w:r>
                    <w:rPr>
                      <w:color w:val="auto"/>
                      <w:sz w:val="21"/>
                      <w:szCs w:val="21"/>
                    </w:rPr>
                    <w:t>项目主要原料外购周边企业，不涉及新开采资源，项目不触及资源利用上线</w:t>
                  </w:r>
                  <w:r>
                    <w:rPr>
                      <w:rFonts w:hint="eastAsia"/>
                      <w:color w:val="auto"/>
                      <w:sz w:val="21"/>
                      <w:szCs w:val="21"/>
                    </w:rPr>
                    <w:t>。</w:t>
                  </w:r>
                </w:p>
              </w:tc>
              <w:tc>
                <w:tcPr>
                  <w:tcW w:w="648"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color w:val="auto"/>
                      <w:sz w:val="21"/>
                      <w:szCs w:val="21"/>
                    </w:rPr>
                  </w:pPr>
                  <w:r>
                    <w:rPr>
                      <w:bCs/>
                      <w:color w:val="auto"/>
                      <w:sz w:val="21"/>
                      <w:szCs w:val="21"/>
                    </w:rPr>
                    <w:t>符合</w:t>
                  </w:r>
                </w:p>
              </w:tc>
            </w:tr>
            <w:bookmarkEnd w:id="2"/>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trHeight w:val="397" w:hRule="atLeast"/>
                <w:jc w:val="center"/>
              </w:trPr>
              <w:tc>
                <w:tcPr>
                  <w:tcW w:w="740"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color w:val="auto"/>
                      <w:kern w:val="0"/>
                      <w:sz w:val="21"/>
                      <w:szCs w:val="21"/>
                    </w:rPr>
                  </w:pPr>
                  <w:r>
                    <w:rPr>
                      <w:color w:val="auto"/>
                      <w:kern w:val="0"/>
                      <w:sz w:val="21"/>
                      <w:szCs w:val="21"/>
                    </w:rPr>
                    <w:t>生态环境准入清单</w:t>
                  </w:r>
                </w:p>
              </w:tc>
              <w:tc>
                <w:tcPr>
                  <w:tcW w:w="4892" w:type="dxa"/>
                  <w:tcBorders>
                    <w:tl2br w:val="nil"/>
                    <w:tr2bl w:val="nil"/>
                  </w:tcBorders>
                  <w:vAlign w:val="center"/>
                </w:tcPr>
                <w:p>
                  <w:pPr>
                    <w:pStyle w:val="83"/>
                    <w:keepNext w:val="0"/>
                    <w:keepLines w:val="0"/>
                    <w:pageBreakBefore w:val="0"/>
                    <w:widowControl w:val="0"/>
                    <w:kinsoku/>
                    <w:wordWrap/>
                    <w:overflowPunct/>
                    <w:topLinePunct w:val="0"/>
                    <w:bidi w:val="0"/>
                    <w:adjustRightInd w:val="0"/>
                    <w:snapToGrid w:val="0"/>
                    <w:spacing w:before="0" w:beforeAutospacing="0" w:after="0" w:line="240" w:lineRule="auto"/>
                    <w:ind w:left="0" w:leftChars="0" w:right="0" w:rightChars="0" w:firstLine="0" w:firstLineChars="0"/>
                    <w:jc w:val="left"/>
                    <w:textAlignment w:val="bottom"/>
                    <w:rPr>
                      <w:color w:val="auto"/>
                      <w:sz w:val="21"/>
                      <w:szCs w:val="21"/>
                      <w:lang w:val="en-US" w:eastAsia="zh-CN"/>
                    </w:rPr>
                  </w:pPr>
                  <w:r>
                    <w:rPr>
                      <w:color w:val="auto"/>
                      <w:sz w:val="21"/>
                      <w:szCs w:val="21"/>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693"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left"/>
                    <w:rPr>
                      <w:color w:val="auto"/>
                      <w:kern w:val="0"/>
                      <w:sz w:val="21"/>
                      <w:szCs w:val="21"/>
                    </w:rPr>
                  </w:pPr>
                  <w:r>
                    <w:rPr>
                      <w:color w:val="auto"/>
                      <w:sz w:val="21"/>
                      <w:szCs w:val="21"/>
                    </w:rPr>
                    <w:t>经对照，本项目位于泾河新城，不属于《陕西省国家重点生态功能区产业准入负面清单（试行）》中划定的区县</w:t>
                  </w:r>
                  <w:r>
                    <w:rPr>
                      <w:rFonts w:hint="eastAsia"/>
                      <w:color w:val="auto"/>
                      <w:sz w:val="21"/>
                      <w:szCs w:val="21"/>
                    </w:rPr>
                    <w:t>。</w:t>
                  </w:r>
                </w:p>
              </w:tc>
              <w:tc>
                <w:tcPr>
                  <w:tcW w:w="648" w:type="dxa"/>
                  <w:tcBorders>
                    <w:tl2br w:val="nil"/>
                    <w:tr2bl w:val="nil"/>
                  </w:tcBorders>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color w:val="auto"/>
                      <w:sz w:val="21"/>
                      <w:szCs w:val="21"/>
                    </w:rPr>
                  </w:pPr>
                  <w:r>
                    <w:rPr>
                      <w:bCs/>
                      <w:color w:val="auto"/>
                      <w:sz w:val="21"/>
                      <w:szCs w:val="21"/>
                    </w:rPr>
                    <w:t>符合</w:t>
                  </w:r>
                </w:p>
              </w:tc>
            </w:tr>
          </w:tbl>
          <w:p>
            <w:pPr>
              <w:numPr>
                <w:ilvl w:val="0"/>
                <w:numId w:val="2"/>
              </w:numPr>
              <w:spacing w:before="120" w:beforeLines="50" w:line="360" w:lineRule="auto"/>
              <w:ind w:firstLine="480" w:firstLineChars="200"/>
              <w:rPr>
                <w:color w:val="auto"/>
                <w:sz w:val="24"/>
              </w:rPr>
            </w:pPr>
            <w:r>
              <w:rPr>
                <w:color w:val="auto"/>
                <w:sz w:val="24"/>
              </w:rPr>
              <w:t>与《西安市人民政府关于印发“三线一单”生态环境分区管控方案的通知》（市政发〔2021〕22号）符合性分析</w:t>
            </w:r>
          </w:p>
          <w:p>
            <w:pPr>
              <w:spacing w:line="360" w:lineRule="auto"/>
              <w:ind w:firstLine="480" w:firstLineChars="200"/>
              <w:contextualSpacing/>
              <w:rPr>
                <w:color w:val="auto"/>
                <w:kern w:val="0"/>
                <w:sz w:val="24"/>
              </w:rPr>
            </w:pPr>
            <w:r>
              <w:rPr>
                <w:color w:val="auto"/>
                <w:kern w:val="0"/>
                <w:sz w:val="24"/>
              </w:rPr>
              <w:t>1）“一图”</w:t>
            </w:r>
          </w:p>
          <w:p>
            <w:pPr>
              <w:spacing w:line="360" w:lineRule="auto"/>
              <w:ind w:firstLine="480" w:firstLineChars="200"/>
              <w:contextualSpacing/>
              <w:rPr>
                <w:color w:val="auto"/>
                <w:kern w:val="0"/>
                <w:sz w:val="24"/>
              </w:rPr>
            </w:pPr>
            <w:r>
              <w:rPr>
                <w:color w:val="auto"/>
                <w:kern w:val="0"/>
                <w:sz w:val="24"/>
              </w:rPr>
              <w:t>根据陕西省“三线一单”数据应用系统及西安市生态环境管控单元分布示意图（附图</w:t>
            </w:r>
            <w:r>
              <w:rPr>
                <w:rFonts w:hint="eastAsia"/>
                <w:color w:val="auto"/>
                <w:kern w:val="0"/>
                <w:sz w:val="24"/>
              </w:rPr>
              <w:t>2</w:t>
            </w:r>
            <w:r>
              <w:rPr>
                <w:color w:val="auto"/>
                <w:kern w:val="0"/>
                <w:sz w:val="24"/>
              </w:rPr>
              <w:t>），本项目位于重点管控单元内，环境管控单元涉及情况如下：</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contextualSpacing/>
              <w:textAlignment w:val="auto"/>
              <w:rPr>
                <w:rFonts w:hint="eastAsia" w:eastAsia="宋体"/>
                <w:color w:val="auto"/>
                <w:kern w:val="0"/>
                <w:sz w:val="24"/>
                <w:lang w:eastAsia="zh-CN"/>
              </w:rPr>
            </w:pPr>
            <w:r>
              <w:rPr>
                <w:rFonts w:hint="eastAsia" w:eastAsia="宋体"/>
                <w:color w:val="auto"/>
                <w:kern w:val="0"/>
                <w:sz w:val="24"/>
                <w:lang w:eastAsia="zh-CN"/>
              </w:rPr>
              <w:drawing>
                <wp:inline distT="0" distB="0" distL="114300" distR="114300">
                  <wp:extent cx="5060950" cy="3066415"/>
                  <wp:effectExtent l="0" t="0" r="6350" b="635"/>
                  <wp:docPr id="1" name="图片 1" descr="三线一单对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线一单对比"/>
                          <pic:cNvPicPr>
                            <a:picLocks noChangeAspect="1"/>
                          </pic:cNvPicPr>
                        </pic:nvPicPr>
                        <pic:blipFill>
                          <a:blip r:embed="rId7"/>
                          <a:stretch>
                            <a:fillRect/>
                          </a:stretch>
                        </pic:blipFill>
                        <pic:spPr>
                          <a:xfrm>
                            <a:off x="0" y="0"/>
                            <a:ext cx="5060950" cy="3066415"/>
                          </a:xfrm>
                          <a:prstGeom prst="rect">
                            <a:avLst/>
                          </a:prstGeom>
                        </pic:spPr>
                      </pic:pic>
                    </a:graphicData>
                  </a:graphic>
                </wp:inline>
              </w:drawing>
            </w:r>
          </w:p>
          <w:p>
            <w:pPr>
              <w:pStyle w:val="84"/>
              <w:spacing w:line="240" w:lineRule="auto"/>
              <w:ind w:firstLine="0" w:firstLineChars="0"/>
              <w:jc w:val="center"/>
              <w:rPr>
                <w:rFonts w:hAnsi="Times New Roman"/>
                <w:b/>
                <w:bCs/>
                <w:color w:val="auto"/>
                <w:spacing w:val="2"/>
                <w:sz w:val="21"/>
                <w:szCs w:val="18"/>
              </w:rPr>
            </w:pPr>
            <w:r>
              <w:rPr>
                <w:rFonts w:hAnsi="Times New Roman"/>
                <w:b/>
                <w:bCs/>
                <w:color w:val="auto"/>
                <w:spacing w:val="2"/>
                <w:sz w:val="21"/>
                <w:szCs w:val="18"/>
              </w:rPr>
              <w:t>图1-1  “三线一单”空间冲突分析图</w:t>
            </w:r>
          </w:p>
          <w:p>
            <w:pPr>
              <w:spacing w:line="240" w:lineRule="auto"/>
              <w:contextualSpacing/>
              <w:jc w:val="center"/>
              <w:rPr>
                <w:b/>
                <w:bCs/>
                <w:color w:val="auto"/>
                <w:szCs w:val="21"/>
              </w:rPr>
            </w:pPr>
            <w:r>
              <w:rPr>
                <w:b/>
                <w:bCs/>
                <w:color w:val="auto"/>
                <w:szCs w:val="21"/>
              </w:rPr>
              <w:t>（来源说明：项目空间冲突分析图来源于陕西省生态环境厅官网陕西省“三线一单”数据应用系统（V1.0））</w:t>
            </w:r>
          </w:p>
          <w:p>
            <w:pPr>
              <w:pStyle w:val="84"/>
              <w:spacing w:line="360" w:lineRule="auto"/>
              <w:ind w:firstLine="488"/>
              <w:rPr>
                <w:rFonts w:hAnsi="Times New Roman"/>
                <w:color w:val="auto"/>
                <w:spacing w:val="2"/>
              </w:rPr>
            </w:pPr>
            <w:r>
              <w:rPr>
                <w:rFonts w:hAnsi="Times New Roman"/>
                <w:color w:val="auto"/>
                <w:spacing w:val="2"/>
              </w:rPr>
              <w:t>2）“一表”</w:t>
            </w:r>
          </w:p>
          <w:p>
            <w:pPr>
              <w:pStyle w:val="84"/>
              <w:spacing w:line="360" w:lineRule="auto"/>
              <w:ind w:firstLine="488"/>
              <w:rPr>
                <w:rFonts w:hAnsi="Times New Roman"/>
                <w:color w:val="auto"/>
                <w:spacing w:val="2"/>
              </w:rPr>
            </w:pPr>
            <w:r>
              <w:rPr>
                <w:rFonts w:hAnsi="Times New Roman"/>
                <w:color w:val="auto"/>
                <w:spacing w:val="2"/>
              </w:rPr>
              <w:t>本项目与</w:t>
            </w:r>
            <w:r>
              <w:rPr>
                <w:rFonts w:hAnsi="Times New Roman"/>
                <w:color w:val="auto"/>
                <w:kern w:val="0"/>
              </w:rPr>
              <w:t>“三线一单”</w:t>
            </w:r>
            <w:r>
              <w:rPr>
                <w:rFonts w:hAnsi="Times New Roman"/>
                <w:color w:val="auto"/>
                <w:spacing w:val="2"/>
              </w:rPr>
              <w:t>的符合性分析如下表所示：</w:t>
            </w:r>
          </w:p>
          <w:p>
            <w:pPr>
              <w:numPr>
                <w:ilvl w:val="0"/>
                <w:numId w:val="3"/>
              </w:numPr>
              <w:spacing w:line="360" w:lineRule="auto"/>
              <w:ind w:firstLine="480" w:firstLineChars="200"/>
              <w:contextualSpacing/>
              <w:rPr>
                <w:color w:val="auto"/>
                <w:kern w:val="0"/>
                <w:sz w:val="24"/>
              </w:rPr>
            </w:pPr>
            <w:r>
              <w:rPr>
                <w:color w:val="auto"/>
                <w:kern w:val="0"/>
                <w:sz w:val="24"/>
              </w:rPr>
              <w:t>“一说明”</w:t>
            </w:r>
          </w:p>
          <w:p>
            <w:pPr>
              <w:spacing w:line="360" w:lineRule="auto"/>
              <w:ind w:firstLine="480" w:firstLineChars="200"/>
              <w:rPr>
                <w:color w:val="auto"/>
                <w:sz w:val="24"/>
              </w:rPr>
            </w:pPr>
            <w:r>
              <w:rPr>
                <w:color w:val="auto"/>
                <w:sz w:val="24"/>
              </w:rPr>
              <w:t>本项目涉及重点管控单元（包括</w:t>
            </w:r>
            <w:r>
              <w:rPr>
                <w:rFonts w:hint="eastAsia"/>
                <w:color w:val="auto"/>
                <w:sz w:val="24"/>
                <w:szCs w:val="32"/>
                <w:lang w:val="en-US" w:eastAsia="zh-CN"/>
              </w:rPr>
              <w:t>高污染燃料禁燃区、水环境城镇生活污染重点管控区、大气环境布局敏感重点管控区</w:t>
            </w:r>
            <w:r>
              <w:rPr>
                <w:color w:val="auto"/>
                <w:sz w:val="24"/>
              </w:rPr>
              <w:t>），符合“三线一单”生态环境分区管控要求。</w:t>
            </w:r>
          </w:p>
          <w:p>
            <w:pPr>
              <w:pStyle w:val="84"/>
              <w:spacing w:line="360" w:lineRule="auto"/>
              <w:ind w:firstLine="488"/>
              <w:rPr>
                <w:rFonts w:hAnsi="Times New Roman"/>
                <w:color w:val="auto"/>
                <w:spacing w:val="2"/>
              </w:rPr>
            </w:pPr>
          </w:p>
          <w:p>
            <w:pPr>
              <w:pStyle w:val="84"/>
              <w:spacing w:line="360" w:lineRule="auto"/>
              <w:ind w:firstLine="488"/>
              <w:rPr>
                <w:rFonts w:hAnsi="Times New Roman"/>
                <w:color w:val="auto"/>
                <w:spacing w:val="2"/>
              </w:rPr>
            </w:pPr>
          </w:p>
          <w:p>
            <w:pPr>
              <w:autoSpaceDE w:val="0"/>
              <w:autoSpaceDN w:val="0"/>
              <w:adjustRightInd w:val="0"/>
              <w:snapToGrid w:val="0"/>
              <w:rPr>
                <w:color w:val="auto"/>
                <w:kern w:val="0"/>
                <w:sz w:val="24"/>
              </w:rPr>
            </w:pPr>
          </w:p>
        </w:tc>
      </w:tr>
    </w:tbl>
    <w:p>
      <w:pPr>
        <w:rPr>
          <w:color w:val="auto"/>
        </w:rPr>
        <w:sectPr>
          <w:footerReference r:id="rId4" w:type="default"/>
          <w:pgSz w:w="11906" w:h="16838"/>
          <w:pgMar w:top="1701" w:right="1531" w:bottom="1701" w:left="1531" w:header="907" w:footer="907" w:gutter="0"/>
          <w:pgBorders>
            <w:top w:val="none" w:sz="0" w:space="0"/>
            <w:left w:val="none" w:sz="0" w:space="0"/>
            <w:bottom w:val="none" w:sz="0" w:space="0"/>
            <w:right w:val="none" w:sz="0" w:space="0"/>
          </w:pgBorders>
          <w:pgNumType w:start="1"/>
          <w:cols w:space="720" w:num="1"/>
          <w:docGrid w:linePitch="312" w:charSpace="0"/>
        </w:sectPr>
      </w:pPr>
    </w:p>
    <w:p>
      <w:pPr>
        <w:pStyle w:val="85"/>
        <w:adjustRightInd w:val="0"/>
        <w:spacing w:before="0" w:afterLines="0"/>
        <w:ind w:firstLine="0"/>
        <w:rPr>
          <w:rFonts w:ascii="Times New Roman" w:hAnsi="Times New Roman" w:eastAsia="宋体"/>
          <w:b/>
          <w:color w:val="auto"/>
        </w:rPr>
      </w:pPr>
      <w:r>
        <w:rPr>
          <w:rFonts w:ascii="Times New Roman" w:hAnsi="Times New Roman" w:eastAsia="宋体"/>
          <w:b/>
          <w:color w:val="auto"/>
          <w:kern w:val="0"/>
        </w:rPr>
        <w:t xml:space="preserve">表1-3  </w:t>
      </w:r>
      <w:r>
        <w:rPr>
          <w:rFonts w:ascii="Times New Roman" w:hAnsi="Times New Roman" w:eastAsia="宋体"/>
          <w:b/>
          <w:color w:val="auto"/>
        </w:rPr>
        <w:t>项目与“《西安市“三线一单”生态环境分区管控方案》”相符性分析</w:t>
      </w:r>
    </w:p>
    <w:tbl>
      <w:tblPr>
        <w:tblStyle w:val="30"/>
        <w:tblW w:w="133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9"/>
        <w:gridCol w:w="538"/>
        <w:gridCol w:w="462"/>
        <w:gridCol w:w="638"/>
        <w:gridCol w:w="968"/>
        <w:gridCol w:w="671"/>
        <w:gridCol w:w="695"/>
        <w:gridCol w:w="5983"/>
        <w:gridCol w:w="767"/>
        <w:gridCol w:w="21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59"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序号</w:t>
            </w:r>
          </w:p>
        </w:tc>
        <w:tc>
          <w:tcPr>
            <w:tcW w:w="538" w:type="dxa"/>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eastAsia="zh-CN"/>
              </w:rPr>
            </w:pPr>
            <w:r>
              <w:rPr>
                <w:rFonts w:hint="eastAsia"/>
                <w:b w:val="0"/>
                <w:bCs w:val="0"/>
                <w:color w:val="auto"/>
                <w:sz w:val="21"/>
                <w:szCs w:val="21"/>
                <w:lang w:val="en-US" w:eastAsia="zh-CN" w:bidi="ar"/>
              </w:rPr>
              <w:t>区域名称</w:t>
            </w:r>
          </w:p>
        </w:tc>
        <w:tc>
          <w:tcPr>
            <w:tcW w:w="462"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区县</w:t>
            </w:r>
          </w:p>
        </w:tc>
        <w:tc>
          <w:tcPr>
            <w:tcW w:w="638"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b w:val="0"/>
                <w:bCs w:val="0"/>
                <w:color w:val="auto"/>
                <w:sz w:val="21"/>
                <w:szCs w:val="21"/>
                <w:lang w:bidi="ar"/>
              </w:rPr>
              <w:t>环境管控单元名称</w:t>
            </w:r>
          </w:p>
        </w:tc>
        <w:tc>
          <w:tcPr>
            <w:tcW w:w="968"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单元要素属性</w:t>
            </w:r>
          </w:p>
        </w:tc>
        <w:tc>
          <w:tcPr>
            <w:tcW w:w="671"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管控单元分类</w:t>
            </w:r>
          </w:p>
        </w:tc>
        <w:tc>
          <w:tcPr>
            <w:tcW w:w="6678" w:type="dxa"/>
            <w:gridSpan w:val="2"/>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管控要求</w:t>
            </w:r>
          </w:p>
        </w:tc>
        <w:tc>
          <w:tcPr>
            <w:tcW w:w="767"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面积/长度</w:t>
            </w:r>
          </w:p>
        </w:tc>
        <w:tc>
          <w:tcPr>
            <w:tcW w:w="2160"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rPr>
            </w:pPr>
            <w:r>
              <w:rPr>
                <w:b w:val="0"/>
                <w:bCs w:val="0"/>
                <w:color w:val="auto"/>
                <w:sz w:val="21"/>
                <w:szCs w:val="21"/>
                <w:lang w:bidi="ar"/>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1</w:t>
            </w:r>
          </w:p>
        </w:tc>
        <w:tc>
          <w:tcPr>
            <w:tcW w:w="538"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b w:val="0"/>
                <w:bCs w:val="0"/>
                <w:color w:val="auto"/>
                <w:sz w:val="21"/>
                <w:szCs w:val="21"/>
                <w:lang w:bidi="ar"/>
              </w:rPr>
              <w:t>西</w:t>
            </w:r>
          </w:p>
          <w:p>
            <w:pPr>
              <w:keepNext w:val="0"/>
              <w:keepLines w:val="0"/>
              <w:pageBreakBefore w:val="0"/>
              <w:kinsoku/>
              <w:wordWrap/>
              <w:overflowPunct w:val="0"/>
              <w:topLinePunct/>
              <w:autoSpaceDE/>
              <w:autoSpaceDN/>
              <w:bidi w:val="0"/>
              <w:jc w:val="center"/>
              <w:rPr>
                <w:b w:val="0"/>
                <w:bCs w:val="0"/>
                <w:color w:val="auto"/>
                <w:sz w:val="21"/>
                <w:szCs w:val="21"/>
                <w:lang w:bidi="ar"/>
              </w:rPr>
            </w:pPr>
            <w:r>
              <w:rPr>
                <w:b w:val="0"/>
                <w:bCs w:val="0"/>
                <w:color w:val="auto"/>
                <w:sz w:val="21"/>
                <w:szCs w:val="21"/>
                <w:lang w:bidi="ar"/>
              </w:rPr>
              <w:t>安</w:t>
            </w:r>
          </w:p>
          <w:p>
            <w:pPr>
              <w:keepNext w:val="0"/>
              <w:keepLines w:val="0"/>
              <w:pageBreakBefore w:val="0"/>
              <w:kinsoku/>
              <w:wordWrap/>
              <w:overflowPunct w:val="0"/>
              <w:topLinePunct/>
              <w:autoSpaceDE/>
              <w:autoSpaceDN/>
              <w:bidi w:val="0"/>
              <w:jc w:val="center"/>
              <w:rPr>
                <w:b w:val="0"/>
                <w:bCs w:val="0"/>
                <w:color w:val="auto"/>
                <w:sz w:val="21"/>
                <w:szCs w:val="21"/>
                <w:lang w:bidi="ar"/>
              </w:rPr>
            </w:pPr>
            <w:r>
              <w:rPr>
                <w:b w:val="0"/>
                <w:bCs w:val="0"/>
                <w:color w:val="auto"/>
                <w:sz w:val="21"/>
                <w:szCs w:val="21"/>
                <w:lang w:bidi="ar"/>
              </w:rPr>
              <w:t>市</w:t>
            </w:r>
          </w:p>
        </w:tc>
        <w:tc>
          <w:tcPr>
            <w:tcW w:w="462"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b w:val="0"/>
                <w:bCs w:val="0"/>
                <w:color w:val="auto"/>
                <w:sz w:val="21"/>
                <w:szCs w:val="21"/>
                <w:lang w:bidi="ar"/>
              </w:rPr>
              <w:t>西咸新区</w:t>
            </w:r>
          </w:p>
        </w:tc>
        <w:tc>
          <w:tcPr>
            <w:tcW w:w="638"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default" w:eastAsia="宋体"/>
                <w:b w:val="0"/>
                <w:bCs w:val="0"/>
                <w:color w:val="auto"/>
                <w:sz w:val="21"/>
                <w:szCs w:val="21"/>
                <w:lang w:val="en-US" w:eastAsia="zh-CN" w:bidi="ar"/>
              </w:rPr>
            </w:pPr>
            <w:r>
              <w:rPr>
                <w:rFonts w:hint="eastAsia"/>
                <w:b w:val="0"/>
                <w:bCs w:val="0"/>
                <w:color w:val="auto"/>
                <w:sz w:val="21"/>
                <w:szCs w:val="21"/>
                <w:lang w:val="en-US" w:eastAsia="zh-CN" w:bidi="ar"/>
              </w:rPr>
              <w:t>西咸新区直管区</w:t>
            </w:r>
          </w:p>
        </w:tc>
        <w:tc>
          <w:tcPr>
            <w:tcW w:w="968" w:type="dxa"/>
            <w:vMerge w:val="restart"/>
            <w:tcBorders>
              <w:tl2br w:val="nil"/>
              <w:tr2bl w:val="nil"/>
            </w:tcBorders>
            <w:vAlign w:val="center"/>
          </w:tcPr>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center"/>
              <w:textAlignment w:val="baseline"/>
              <w:rPr>
                <w:rFonts w:hint="default"/>
                <w:color w:val="auto"/>
                <w:sz w:val="21"/>
                <w:szCs w:val="21"/>
                <w:lang w:val="en-US" w:eastAsia="zh-CN"/>
              </w:rPr>
            </w:pPr>
            <w:r>
              <w:rPr>
                <w:rFonts w:ascii="宋体" w:hAnsi="宋体" w:eastAsia="宋体" w:cs="宋体"/>
                <w:color w:val="auto"/>
                <w:spacing w:val="0"/>
                <w:sz w:val="21"/>
                <w:szCs w:val="21"/>
              </w:rPr>
              <w:t>大环受敏重管气境体感点控区、水环城生污重管境镇活染点控区、高污燃禁区染料燃</w:t>
            </w:r>
          </w:p>
        </w:tc>
        <w:tc>
          <w:tcPr>
            <w:tcW w:w="671" w:type="dxa"/>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w:t>
            </w:r>
          </w:p>
        </w:tc>
        <w:tc>
          <w:tcPr>
            <w:tcW w:w="695" w:type="dxa"/>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空间布局约束</w:t>
            </w:r>
          </w:p>
        </w:tc>
        <w:tc>
          <w:tcPr>
            <w:tcW w:w="5983" w:type="dxa"/>
            <w:tcBorders>
              <w:tl2br w:val="nil"/>
              <w:tr2bl w:val="nil"/>
            </w:tcBorders>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大气环境受体敏感重点管控区：</w:t>
            </w:r>
          </w:p>
          <w:p>
            <w:pPr>
              <w:keepNext w:val="0"/>
              <w:keepLines w:val="0"/>
              <w:pageBreakBefore w:val="0"/>
              <w:widowControl w:val="0"/>
              <w:numPr>
                <w:ilvl w:val="0"/>
                <w:numId w:val="4"/>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严格控制新增《陕西省“两高”项目管理暂行目录》行业项目（民生等项目除外，后续对“两高”范围国家如有新规定的，从其规定）。</w:t>
            </w:r>
          </w:p>
          <w:p>
            <w:pPr>
              <w:keepNext w:val="0"/>
              <w:keepLines w:val="0"/>
              <w:pageBreakBefore w:val="0"/>
              <w:widowControl w:val="0"/>
              <w:numPr>
                <w:ilvl w:val="0"/>
                <w:numId w:val="4"/>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snapToGrid w:val="0"/>
                <w:color w:val="auto"/>
                <w:spacing w:val="0"/>
                <w:kern w:val="0"/>
                <w:sz w:val="21"/>
                <w:szCs w:val="21"/>
                <w:lang w:val="en-US" w:eastAsia="zh-CN"/>
              </w:rPr>
            </w:pPr>
            <w:r>
              <w:rPr>
                <w:rFonts w:hint="default" w:ascii="Times New Roman" w:hAnsi="Times New Roman" w:eastAsia="宋体" w:cs="Times New Roman"/>
                <w:color w:val="auto"/>
                <w:spacing w:val="0"/>
                <w:sz w:val="21"/>
                <w:szCs w:val="21"/>
              </w:rPr>
              <w:t>推动重污染企业搬迁入园或依法关闭。</w:t>
            </w:r>
          </w:p>
        </w:tc>
        <w:tc>
          <w:tcPr>
            <w:tcW w:w="767"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r>
              <w:rPr>
                <w:rFonts w:hint="eastAsia"/>
                <w:color w:val="auto"/>
                <w:sz w:val="21"/>
                <w:szCs w:val="21"/>
                <w:lang w:val="en-US" w:eastAsia="zh-CN" w:bidi="ar"/>
              </w:rPr>
              <w:t>2500</w:t>
            </w:r>
            <w:r>
              <w:rPr>
                <w:color w:val="auto"/>
                <w:sz w:val="21"/>
                <w:szCs w:val="21"/>
              </w:rPr>
              <w:t>m²</w:t>
            </w:r>
          </w:p>
        </w:tc>
        <w:tc>
          <w:tcPr>
            <w:tcW w:w="2160" w:type="dxa"/>
            <w:tcBorders>
              <w:tl2br w:val="nil"/>
              <w:tr2bl w:val="nil"/>
            </w:tcBorders>
            <w:vAlign w:val="center"/>
          </w:tcPr>
          <w:p>
            <w:pPr>
              <w:keepNext w:val="0"/>
              <w:keepLines w:val="0"/>
              <w:pageBreakBefore w:val="0"/>
              <w:kinsoku/>
              <w:wordWrap/>
              <w:overflowPunct w:val="0"/>
              <w:topLinePunct/>
              <w:autoSpaceDE/>
              <w:autoSpaceDN/>
              <w:bidi w:val="0"/>
              <w:jc w:val="center"/>
              <w:rPr>
                <w:rFonts w:hint="default" w:eastAsia="宋体"/>
                <w:color w:val="auto"/>
                <w:sz w:val="21"/>
                <w:szCs w:val="21"/>
                <w:lang w:val="en-US" w:eastAsia="zh-CN" w:bidi="ar"/>
              </w:rPr>
            </w:pPr>
            <w:r>
              <w:rPr>
                <w:rFonts w:hint="eastAsia"/>
                <w:color w:val="auto"/>
                <w:sz w:val="21"/>
                <w:szCs w:val="21"/>
                <w:lang w:val="en-US" w:eastAsia="zh-CN" w:bidi="ar"/>
              </w:rPr>
              <w:t>本项目外购玻璃原片进行特种玻璃制造，不属于禁止建设的两高行业以及其他禁止建设的行业；本项目租赁</w:t>
            </w:r>
            <w:r>
              <w:rPr>
                <w:rFonts w:hint="eastAsia"/>
                <w:color w:val="auto"/>
                <w:sz w:val="21"/>
                <w:szCs w:val="21"/>
              </w:rPr>
              <w:t>泾河新城</w:t>
            </w:r>
            <w:r>
              <w:rPr>
                <w:rFonts w:hint="eastAsia"/>
                <w:color w:val="auto"/>
                <w:sz w:val="21"/>
                <w:szCs w:val="21"/>
                <w:lang w:val="en-US" w:eastAsia="zh-CN"/>
              </w:rPr>
              <w:t>秦创原（泾河）智造创新产业园</w:t>
            </w:r>
            <w:r>
              <w:rPr>
                <w:rFonts w:hint="eastAsia"/>
                <w:color w:val="auto"/>
                <w:sz w:val="21"/>
                <w:szCs w:val="21"/>
                <w:lang w:val="en-US" w:eastAsia="zh-CN" w:bidi="ar"/>
              </w:rPr>
              <w:t>厂房，不新增占地，不破坏生态环境</w:t>
            </w:r>
            <w:r>
              <w:rPr>
                <w:rFonts w:hint="eastAsia"/>
                <w:color w:val="auto"/>
                <w:sz w:val="21"/>
                <w:szCs w:val="21"/>
                <w:highlight w:val="none"/>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rFonts w:hint="eastAsia"/>
                <w:b w:val="0"/>
                <w:bCs w:val="0"/>
                <w:color w:val="auto"/>
                <w:sz w:val="21"/>
                <w:szCs w:val="21"/>
                <w:lang w:val="en-US" w:eastAsia="zh-CN" w:bidi="ar"/>
              </w:rPr>
              <w:t>/</w:t>
            </w:r>
          </w:p>
        </w:tc>
        <w:tc>
          <w:tcPr>
            <w:tcW w:w="695" w:type="dxa"/>
            <w:tcBorders>
              <w:tl2br w:val="nil"/>
              <w:tr2bl w:val="nil"/>
            </w:tcBorders>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b w:val="0"/>
                <w:bCs w:val="0"/>
                <w:color w:val="auto"/>
                <w:spacing w:val="0"/>
                <w:kern w:val="0"/>
                <w:sz w:val="21"/>
                <w:szCs w:val="21"/>
                <w:lang w:bidi="ar"/>
              </w:rPr>
            </w:pPr>
            <w:r>
              <w:rPr>
                <w:rFonts w:hint="default" w:ascii="Times New Roman" w:hAnsi="Times New Roman" w:eastAsia="宋体" w:cs="Times New Roman"/>
                <w:color w:val="auto"/>
                <w:spacing w:val="0"/>
                <w:kern w:val="0"/>
                <w:sz w:val="21"/>
                <w:szCs w:val="21"/>
              </w:rPr>
              <w:t>污染物排放管控</w:t>
            </w:r>
          </w:p>
        </w:tc>
        <w:tc>
          <w:tcPr>
            <w:tcW w:w="5983" w:type="dxa"/>
            <w:tcBorders>
              <w:tl2br w:val="nil"/>
              <w:tr2bl w:val="nil"/>
            </w:tcBorders>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大气环境受体敏感重点管控区：</w:t>
            </w:r>
          </w:p>
          <w:p>
            <w:pPr>
              <w:keepNext w:val="0"/>
              <w:keepLines w:val="0"/>
              <w:pageBreakBefore w:val="0"/>
              <w:widowControl w:val="0"/>
              <w:numPr>
                <w:ilvl w:val="0"/>
                <w:numId w:val="5"/>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城市建成区产生油烟的餐饮服务单位全部安装油烟净化装置并保持正常运行和定期维护。</w:t>
            </w:r>
          </w:p>
          <w:p>
            <w:pPr>
              <w:keepNext w:val="0"/>
              <w:keepLines w:val="0"/>
              <w:pageBreakBefore w:val="0"/>
              <w:widowControl w:val="0"/>
              <w:numPr>
                <w:ilvl w:val="0"/>
                <w:numId w:val="5"/>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sz w:val="21"/>
                <w:szCs w:val="21"/>
              </w:rPr>
              <w:t>持续因地制宜实施“煤改气</w:t>
            </w:r>
            <w:r>
              <w:rPr>
                <w:rFonts w:hint="eastAsia" w:cs="Times New Roman"/>
                <w:color w:val="auto"/>
                <w:spacing w:val="0"/>
                <w:sz w:val="21"/>
                <w:szCs w:val="21"/>
                <w:lang w:eastAsia="zh-CN"/>
              </w:rPr>
              <w:t>”“</w:t>
            </w:r>
            <w:r>
              <w:rPr>
                <w:rFonts w:hint="default" w:ascii="Times New Roman" w:hAnsi="Times New Roman" w:eastAsia="宋体" w:cs="Times New Roman"/>
                <w:color w:val="auto"/>
                <w:spacing w:val="0"/>
                <w:sz w:val="21"/>
                <w:szCs w:val="21"/>
              </w:rPr>
              <w:t>油改气”、电能、地热、生物质等清洁能源取暖措施。</w:t>
            </w:r>
          </w:p>
          <w:p>
            <w:pPr>
              <w:keepNext w:val="0"/>
              <w:keepLines w:val="0"/>
              <w:pageBreakBefore w:val="0"/>
              <w:widowControl w:val="0"/>
              <w:numPr>
                <w:ilvl w:val="0"/>
                <w:numId w:val="5"/>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sz w:val="21"/>
                <w:szCs w:val="21"/>
              </w:rPr>
              <w:t>鼓励将老旧车辆和非道路移动机械替换为清洁能源车辆。推进新能源或清洁能源汽车使用。</w:t>
            </w:r>
          </w:p>
          <w:p>
            <w:pPr>
              <w:keepNext w:val="0"/>
              <w:keepLines w:val="0"/>
              <w:pageBreakBefore w:val="0"/>
              <w:widowControl w:val="0"/>
              <w:numPr>
                <w:ilvl w:val="0"/>
                <w:numId w:val="5"/>
              </w:numPr>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sz w:val="21"/>
                <w:szCs w:val="21"/>
              </w:rPr>
              <w:t>位于大气污染防治重点区域的汾渭平原，特别排放限值行业（钢铁、水泥、焦化、石化、化工、有色等行业）现有企业全面执行二氧化硫、氮氧化物、颗粒物、挥发性有机物（VOCs）特别排放限值。</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right="0" w:right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水环境城镇生活污染重点管控区：</w:t>
            </w:r>
          </w:p>
          <w:p>
            <w:pPr>
              <w:keepNext w:val="0"/>
              <w:keepLines w:val="0"/>
              <w:pageBreakBefore w:val="0"/>
              <w:widowControl w:val="0"/>
              <w:numPr>
                <w:ilvl w:val="0"/>
                <w:numId w:val="6"/>
              </w:numPr>
              <w:kinsoku/>
              <w:wordWrap/>
              <w:overflowPunct w:val="0"/>
              <w:topLinePunct/>
              <w:autoSpaceDE/>
              <w:autoSpaceDN/>
              <w:bidi w:val="0"/>
              <w:adjustRightInd w:val="0"/>
              <w:snapToGrid w:val="0"/>
              <w:spacing w:line="240" w:lineRule="auto"/>
              <w:ind w:leftChars="0" w:right="0" w:right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加强城镇污水收集处理设施建设与提标改造。全省黄河流域城镇生活污水处理达到《陕西省黄河流域污水综合排放标准》（DB61/224-2018）排放限值要求。</w:t>
            </w:r>
          </w:p>
          <w:p>
            <w:pPr>
              <w:keepNext w:val="0"/>
              <w:keepLines w:val="0"/>
              <w:pageBreakBefore w:val="0"/>
              <w:widowControl w:val="0"/>
              <w:numPr>
                <w:ilvl w:val="0"/>
                <w:numId w:val="6"/>
              </w:numPr>
              <w:kinsoku/>
              <w:wordWrap/>
              <w:overflowPunct w:val="0"/>
              <w:topLinePunct/>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城镇新区管网建设及老旧城区管网升级改造中实行雨污分流，鼓励推进初期雨水收集、处理和资源化利用，建设人工湿地水质净化工程，对处理达标后的尾水进一步净化。</w:t>
            </w:r>
          </w:p>
          <w:p>
            <w:pPr>
              <w:keepNext w:val="0"/>
              <w:keepLines w:val="0"/>
              <w:pageBreakBefore w:val="0"/>
              <w:widowControl w:val="0"/>
              <w:numPr>
                <w:ilvl w:val="0"/>
                <w:numId w:val="6"/>
              </w:numPr>
              <w:kinsoku/>
              <w:wordWrap/>
              <w:overflowPunct w:val="0"/>
              <w:topLinePunct/>
              <w:autoSpaceDE/>
              <w:autoSpaceDN/>
              <w:bidi w:val="0"/>
              <w:adjustRightInd w:val="0"/>
              <w:snapToGrid w:val="0"/>
              <w:spacing w:line="240" w:lineRule="auto"/>
              <w:ind w:left="0" w:leftChars="0" w:right="0" w:rightChars="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污水处理厂出水用于绿化、农灌等用途的，合理确定管控要求，确保达到相应污水再生利用标准。</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right="0" w:rightChars="0"/>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sz w:val="21"/>
                <w:szCs w:val="21"/>
              </w:rPr>
              <w:t>4.加强城镇污水收集处理设施建设与提标改造，推进渭河南岸西部污水处理厂建设，提升污水处理能力，因地制宜在污水处理厂出水口处建设人工水质净化工程。推进新建污水处理设施与配套管网的同步设计、同步建设、同步投运，加快污水管网建设与雨污分流改造，完成市区老旧城区管网升级改造。</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left="0" w:right="0" w:firstLine="0" w:firstLine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大气环境受体敏感重点管控区：</w:t>
            </w:r>
          </w:p>
          <w:p>
            <w:pPr>
              <w:keepNext w:val="0"/>
              <w:keepLines w:val="0"/>
              <w:pageBreakBefore w:val="0"/>
              <w:numPr>
                <w:ilvl w:val="0"/>
                <w:numId w:val="7"/>
              </w:numPr>
              <w:kinsoku/>
              <w:wordWrap/>
              <w:overflowPunct w:val="0"/>
              <w:topLinePunct/>
              <w:autoSpaceDE/>
              <w:autoSpaceDN/>
              <w:bidi w:val="0"/>
              <w:jc w:val="left"/>
              <w:rPr>
                <w:rFonts w:hint="eastAsia"/>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7"/>
              </w:numPr>
              <w:kinsoku/>
              <w:wordWrap/>
              <w:overflowPunct w:val="0"/>
              <w:topLinePunct/>
              <w:autoSpaceDE/>
              <w:autoSpaceDN/>
              <w:bidi w:val="0"/>
              <w:jc w:val="left"/>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7"/>
              </w:numPr>
              <w:kinsoku/>
              <w:wordWrap/>
              <w:overflowPunct w:val="0"/>
              <w:topLinePunct/>
              <w:autoSpaceDE/>
              <w:autoSpaceDN/>
              <w:bidi w:val="0"/>
              <w:jc w:val="left"/>
              <w:rPr>
                <w:rFonts w:hint="default"/>
                <w:color w:val="auto"/>
                <w:sz w:val="21"/>
                <w:szCs w:val="21"/>
                <w:lang w:val="en-US" w:eastAsia="zh-CN" w:bidi="ar"/>
              </w:rPr>
            </w:pPr>
            <w:r>
              <w:rPr>
                <w:rFonts w:hint="eastAsia"/>
                <w:color w:val="auto"/>
                <w:sz w:val="21"/>
                <w:szCs w:val="21"/>
                <w:lang w:val="en-US" w:eastAsia="zh-CN" w:bidi="ar"/>
              </w:rPr>
              <w:t>本项目不涉及非道路移动机械；</w:t>
            </w:r>
          </w:p>
          <w:p>
            <w:pPr>
              <w:keepNext w:val="0"/>
              <w:keepLines w:val="0"/>
              <w:pageBreakBefore w:val="0"/>
              <w:numPr>
                <w:ilvl w:val="0"/>
                <w:numId w:val="7"/>
              </w:numPr>
              <w:kinsoku/>
              <w:wordWrap/>
              <w:overflowPunct w:val="0"/>
              <w:topLinePunct/>
              <w:autoSpaceDE/>
              <w:autoSpaceDN/>
              <w:bidi w:val="0"/>
              <w:jc w:val="left"/>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Chars="0" w:right="0" w:rightChars="0"/>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水环境城镇生活污染重点管控区：</w:t>
            </w:r>
          </w:p>
          <w:p>
            <w:pPr>
              <w:keepNext w:val="0"/>
              <w:keepLines w:val="0"/>
              <w:pageBreakBefore w:val="0"/>
              <w:numPr>
                <w:ilvl w:val="0"/>
                <w:numId w:val="0"/>
              </w:numPr>
              <w:kinsoku/>
              <w:wordWrap/>
              <w:overflowPunct w:val="0"/>
              <w:topLinePunct/>
              <w:autoSpaceDE/>
              <w:autoSpaceDN/>
              <w:bidi w:val="0"/>
              <w:jc w:val="left"/>
              <w:rPr>
                <w:rFonts w:hint="eastAsia"/>
                <w:color w:val="auto"/>
                <w:sz w:val="21"/>
                <w:szCs w:val="21"/>
                <w:lang w:eastAsia="zh-CN"/>
              </w:rPr>
            </w:pPr>
            <w:r>
              <w:rPr>
                <w:rFonts w:hint="eastAsia" w:ascii="Times New Roman" w:hAnsi="Times New Roman" w:eastAsia="宋体" w:cs="Times New Roman"/>
                <w:color w:val="auto"/>
                <w:kern w:val="2"/>
                <w:sz w:val="21"/>
                <w:szCs w:val="21"/>
                <w:lang w:val="en-US" w:eastAsia="zh-CN" w:bidi="ar-SA"/>
              </w:rPr>
              <w:t>1、</w:t>
            </w:r>
            <w:r>
              <w:rPr>
                <w:rFonts w:hint="eastAsia"/>
                <w:color w:val="auto"/>
                <w:sz w:val="21"/>
                <w:szCs w:val="21"/>
                <w:lang w:val="en-US" w:eastAsia="zh-CN" w:bidi="ar"/>
              </w:rPr>
              <w:t>本项目生活污水依托园区</w:t>
            </w:r>
            <w:r>
              <w:rPr>
                <w:rFonts w:hint="eastAsia"/>
                <w:color w:val="auto"/>
                <w:sz w:val="21"/>
                <w:szCs w:val="21"/>
                <w:lang w:val="en-US" w:eastAsia="zh-CN"/>
              </w:rPr>
              <w:t>化粪池处理后</w:t>
            </w:r>
            <w:r>
              <w:rPr>
                <w:color w:val="auto"/>
                <w:sz w:val="21"/>
                <w:szCs w:val="21"/>
              </w:rPr>
              <w:t>经市政管网排至泾河新城第二污水处理厂进行处理</w:t>
            </w:r>
            <w:r>
              <w:rPr>
                <w:rFonts w:hint="eastAsia"/>
                <w:color w:val="auto"/>
                <w:sz w:val="21"/>
                <w:szCs w:val="21"/>
                <w:lang w:eastAsia="zh-CN"/>
              </w:rPr>
              <w:t>；</w:t>
            </w:r>
          </w:p>
          <w:p>
            <w:pPr>
              <w:keepNext w:val="0"/>
              <w:keepLines w:val="0"/>
              <w:pageBreakBefore w:val="0"/>
              <w:numPr>
                <w:ilvl w:val="0"/>
                <w:numId w:val="0"/>
              </w:numPr>
              <w:kinsoku/>
              <w:wordWrap/>
              <w:overflowPunct w:val="0"/>
              <w:topLinePunct/>
              <w:autoSpaceDE/>
              <w:autoSpaceDN/>
              <w:bidi w:val="0"/>
              <w:jc w:val="left"/>
              <w:rPr>
                <w:rFonts w:hint="eastAsia"/>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2、</w:t>
            </w:r>
            <w:r>
              <w:rPr>
                <w:rFonts w:hint="eastAsia"/>
                <w:color w:val="auto"/>
                <w:sz w:val="21"/>
                <w:szCs w:val="21"/>
                <w:lang w:val="en-US" w:eastAsia="zh-CN"/>
              </w:rPr>
              <w:t>本项目不涉及；</w:t>
            </w:r>
          </w:p>
          <w:p>
            <w:pPr>
              <w:keepNext w:val="0"/>
              <w:keepLines w:val="0"/>
              <w:pageBreakBefore w:val="0"/>
              <w:numPr>
                <w:ilvl w:val="0"/>
                <w:numId w:val="0"/>
              </w:numPr>
              <w:kinsoku/>
              <w:wordWrap/>
              <w:overflowPunct w:val="0"/>
              <w:topLinePunct/>
              <w:autoSpaceDE/>
              <w:autoSpaceDN/>
              <w:bidi w:val="0"/>
              <w:jc w:val="left"/>
              <w:rPr>
                <w:rFonts w:hint="eastAsia"/>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3、</w:t>
            </w:r>
            <w:r>
              <w:rPr>
                <w:rFonts w:hint="eastAsia"/>
                <w:color w:val="auto"/>
                <w:sz w:val="21"/>
                <w:szCs w:val="21"/>
                <w:lang w:val="en-US" w:eastAsia="zh-CN"/>
              </w:rPr>
              <w:t>本项目不涉及；</w:t>
            </w:r>
          </w:p>
          <w:p>
            <w:pPr>
              <w:keepNext w:val="0"/>
              <w:keepLines w:val="0"/>
              <w:pageBreakBefore w:val="0"/>
              <w:numPr>
                <w:ilvl w:val="0"/>
                <w:numId w:val="0"/>
              </w:numPr>
              <w:kinsoku/>
              <w:wordWrap/>
              <w:overflowPunct w:val="0"/>
              <w:topLinePunct/>
              <w:autoSpaceDE/>
              <w:autoSpaceDN/>
              <w:bidi w:val="0"/>
              <w:jc w:val="left"/>
              <w:rPr>
                <w:rFonts w:hint="eastAsia"/>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4、</w:t>
            </w:r>
            <w:r>
              <w:rPr>
                <w:rFonts w:hint="eastAsia"/>
                <w:color w:val="auto"/>
                <w:sz w:val="21"/>
                <w:szCs w:val="21"/>
                <w:lang w:val="en-US" w:eastAsia="zh-CN"/>
              </w:rPr>
              <w:t>本项目不涉及。</w:t>
            </w:r>
          </w:p>
          <w:p>
            <w:pPr>
              <w:keepNext w:val="0"/>
              <w:keepLines w:val="0"/>
              <w:pageBreakBefore w:val="0"/>
              <w:kinsoku/>
              <w:wordWrap/>
              <w:overflowPunct w:val="0"/>
              <w:topLinePunct/>
              <w:autoSpaceDE/>
              <w:autoSpaceDN/>
              <w:bidi w:val="0"/>
              <w:jc w:val="center"/>
              <w:rPr>
                <w:rFonts w:hint="default" w:eastAsia="宋体"/>
                <w:color w:val="auto"/>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rFonts w:hint="eastAsia"/>
                <w:b w:val="0"/>
                <w:bCs w:val="0"/>
                <w:color w:val="auto"/>
                <w:sz w:val="21"/>
                <w:szCs w:val="21"/>
                <w:lang w:val="en-US" w:eastAsia="zh-CN" w:bidi="ar"/>
              </w:rPr>
              <w:t>/</w:t>
            </w:r>
          </w:p>
        </w:tc>
        <w:tc>
          <w:tcPr>
            <w:tcW w:w="695" w:type="dxa"/>
            <w:tcBorders>
              <w:tl2br w:val="nil"/>
              <w:tr2bl w:val="nil"/>
            </w:tcBorders>
            <w:vAlign w:val="center"/>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sz w:val="21"/>
                <w:szCs w:val="21"/>
                <w:lang w:bidi="ar"/>
              </w:rPr>
            </w:pPr>
            <w:r>
              <w:rPr>
                <w:rFonts w:hint="default" w:ascii="Times New Roman" w:hAnsi="Times New Roman" w:eastAsia="宋体" w:cs="Times New Roman"/>
                <w:color w:val="auto"/>
                <w:spacing w:val="0"/>
                <w:kern w:val="0"/>
                <w:sz w:val="21"/>
                <w:szCs w:val="21"/>
              </w:rPr>
              <w:t>环境风险防控</w:t>
            </w:r>
          </w:p>
        </w:tc>
        <w:tc>
          <w:tcPr>
            <w:tcW w:w="5983" w:type="dxa"/>
            <w:tcBorders>
              <w:tl2br w:val="nil"/>
              <w:tr2bl w:val="nil"/>
            </w:tcBorders>
            <w:vAlign w:val="center"/>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jc w:val="center"/>
              <w:textAlignment w:val="auto"/>
              <w:rPr>
                <w:rFonts w:hint="eastAsia" w:ascii="Times New Roman" w:hAnsi="Times New Roman" w:eastAsia="宋体" w:cs="Times New Roman"/>
                <w:color w:val="auto"/>
                <w:spacing w:val="0"/>
                <w:kern w:val="0"/>
                <w:sz w:val="21"/>
                <w:szCs w:val="21"/>
                <w:lang w:val="en-US" w:eastAsia="zh-CN"/>
              </w:rPr>
            </w:pPr>
            <w:r>
              <w:rPr>
                <w:rFonts w:hint="eastAsia" w:ascii="Times New Roman" w:hAnsi="Times New Roman" w:cs="Times New Roman"/>
                <w:color w:val="auto"/>
                <w:spacing w:val="0"/>
                <w:kern w:val="0"/>
                <w:sz w:val="21"/>
                <w:szCs w:val="21"/>
                <w:lang w:val="en-US" w:eastAsia="zh-CN"/>
              </w:rPr>
              <w:t>/</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kinsoku/>
              <w:wordWrap/>
              <w:overflowPunct w:val="0"/>
              <w:topLinePunct/>
              <w:autoSpaceDE/>
              <w:autoSpaceDN/>
              <w:bidi w:val="0"/>
              <w:jc w:val="center"/>
              <w:rPr>
                <w:rFonts w:hint="default" w:eastAsia="宋体"/>
                <w:color w:val="auto"/>
                <w:sz w:val="21"/>
                <w:szCs w:val="21"/>
                <w:lang w:val="en-US" w:eastAsia="zh-CN" w:bidi="ar"/>
              </w:rPr>
            </w:pPr>
            <w:r>
              <w:rPr>
                <w:rFonts w:hint="eastAsia"/>
                <w:color w:val="auto"/>
                <w:sz w:val="21"/>
                <w:szCs w:val="21"/>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r>
              <w:rPr>
                <w:rFonts w:hint="eastAsia"/>
                <w:b w:val="0"/>
                <w:bCs w:val="0"/>
                <w:color w:val="auto"/>
                <w:sz w:val="21"/>
                <w:szCs w:val="21"/>
                <w:lang w:val="en-US" w:eastAsia="zh-CN" w:bidi="ar"/>
              </w:rPr>
              <w:t>/</w:t>
            </w:r>
          </w:p>
        </w:tc>
        <w:tc>
          <w:tcPr>
            <w:tcW w:w="695" w:type="dxa"/>
            <w:tcBorders>
              <w:tl2br w:val="nil"/>
              <w:tr2bl w:val="nil"/>
            </w:tcBorders>
            <w:vAlign w:val="center"/>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0"/>
                <w:kern w:val="0"/>
                <w:sz w:val="21"/>
                <w:szCs w:val="21"/>
                <w:lang w:bidi="ar"/>
              </w:rPr>
            </w:pPr>
            <w:r>
              <w:rPr>
                <w:rFonts w:hint="default" w:ascii="Times New Roman" w:hAnsi="Times New Roman" w:eastAsia="宋体" w:cs="Times New Roman"/>
                <w:color w:val="auto"/>
                <w:spacing w:val="0"/>
                <w:kern w:val="0"/>
                <w:sz w:val="21"/>
                <w:szCs w:val="21"/>
              </w:rPr>
              <w:t>资源开发效率要求</w:t>
            </w:r>
          </w:p>
        </w:tc>
        <w:tc>
          <w:tcPr>
            <w:tcW w:w="5983" w:type="dxa"/>
            <w:tcBorders>
              <w:tl2br w:val="nil"/>
              <w:tr2bl w:val="nil"/>
            </w:tcBorders>
            <w:vAlign w:val="top"/>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sz w:val="21"/>
                <w:szCs w:val="21"/>
              </w:rPr>
              <w:t>高污染燃料禁燃区：</w:t>
            </w:r>
          </w:p>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宋体" w:cs="Times New Roman"/>
                <w:color w:val="auto"/>
                <w:spacing w:val="0"/>
                <w:kern w:val="0"/>
                <w:sz w:val="21"/>
                <w:szCs w:val="21"/>
                <w:lang w:val="en-US" w:eastAsia="zh-CN"/>
              </w:rPr>
            </w:pPr>
            <w:r>
              <w:rPr>
                <w:rFonts w:hint="default" w:ascii="Times New Roman" w:hAnsi="Times New Roman" w:eastAsia="宋体" w:cs="Times New Roman"/>
                <w:color w:val="auto"/>
                <w:spacing w:val="0"/>
                <w:sz w:val="21"/>
                <w:szCs w:val="21"/>
              </w:rPr>
              <w:t>严格禁燃区管控。市区和南六县市全域及北五县市城镇周边划定为高污染燃料禁燃区，禁止销售、使用煤炭及其制品等高污染燃料（35蒸吨及以上燃煤锅炉、火力发电企业、机组及水泥、砖瓦等原料煤使用企业除外）；各县市区全面退出禁燃区内洁净煤加工中心及配送网点，对配送网点及群众存量煤炭全部有偿回收。北五县市非禁燃区内可采用洁净煤或“生物质成型燃料+专用炉具”兜底。加强对直送、网络等方式销售散煤的监管，严厉打击违法销售行为，同时倒查上游企业责任，从源头杜绝散煤销售。</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kinsoku/>
              <w:wordWrap/>
              <w:overflowPunct w:val="0"/>
              <w:topLinePunct/>
              <w:autoSpaceDE/>
              <w:autoSpaceDN/>
              <w:bidi w:val="0"/>
              <w:jc w:val="center"/>
              <w:rPr>
                <w:color w:val="auto"/>
                <w:sz w:val="21"/>
                <w:szCs w:val="21"/>
                <w:lang w:bidi="ar"/>
              </w:rPr>
            </w:pPr>
            <w:r>
              <w:rPr>
                <w:rFonts w:hint="eastAsia"/>
                <w:color w:val="auto"/>
                <w:sz w:val="21"/>
                <w:szCs w:val="21"/>
                <w:lang w:val="en-US" w:eastAsia="zh-CN" w:bidi="ar"/>
              </w:rPr>
              <w:t>本项目能源为电能，不使用高污染燃料</w:t>
            </w:r>
            <w:r>
              <w:rPr>
                <w:rFonts w:hint="eastAsia"/>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default"/>
                <w:b w:val="0"/>
                <w:bCs w:val="0"/>
                <w:color w:val="auto"/>
                <w:sz w:val="21"/>
                <w:szCs w:val="21"/>
                <w:lang w:val="en-US" w:eastAsia="zh-CN" w:bidi="ar"/>
              </w:rPr>
            </w:pPr>
            <w:r>
              <w:rPr>
                <w:rFonts w:hint="eastAsia"/>
                <w:b w:val="0"/>
                <w:bCs w:val="0"/>
                <w:color w:val="auto"/>
                <w:sz w:val="21"/>
                <w:szCs w:val="21"/>
                <w:lang w:val="en-US" w:eastAsia="zh-CN" w:bidi="ar"/>
              </w:rPr>
              <w:t>2</w:t>
            </w:r>
          </w:p>
        </w:tc>
        <w:tc>
          <w:tcPr>
            <w:tcW w:w="538"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陕西省</w:t>
            </w:r>
          </w:p>
        </w:tc>
        <w:tc>
          <w:tcPr>
            <w:tcW w:w="462"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w:t>
            </w:r>
          </w:p>
        </w:tc>
        <w:tc>
          <w:tcPr>
            <w:tcW w:w="638"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eastAsia" w:eastAsia="宋体"/>
                <w:b w:val="0"/>
                <w:bCs w:val="0"/>
                <w:color w:val="auto"/>
                <w:sz w:val="21"/>
                <w:szCs w:val="21"/>
                <w:lang w:val="en-US" w:eastAsia="zh-CN" w:bidi="ar"/>
              </w:rPr>
            </w:pPr>
            <w:r>
              <w:rPr>
                <w:rFonts w:hint="eastAsia"/>
                <w:b w:val="0"/>
                <w:bCs w:val="0"/>
                <w:color w:val="auto"/>
                <w:sz w:val="21"/>
                <w:szCs w:val="21"/>
                <w:lang w:val="en-US" w:eastAsia="zh-CN" w:bidi="ar"/>
              </w:rPr>
              <w:t>/</w:t>
            </w:r>
          </w:p>
        </w:tc>
        <w:tc>
          <w:tcPr>
            <w:tcW w:w="968"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default"/>
                <w:color w:val="auto"/>
                <w:sz w:val="21"/>
                <w:szCs w:val="21"/>
                <w:lang w:val="en-US" w:eastAsia="zh-CN"/>
              </w:rPr>
            </w:pPr>
            <w:r>
              <w:rPr>
                <w:rFonts w:hint="eastAsia"/>
                <w:color w:val="auto"/>
                <w:sz w:val="21"/>
                <w:szCs w:val="21"/>
                <w:lang w:val="en-US" w:eastAsia="zh-CN"/>
              </w:rPr>
              <w:t>/</w:t>
            </w:r>
          </w:p>
        </w:tc>
        <w:tc>
          <w:tcPr>
            <w:tcW w:w="671" w:type="dxa"/>
            <w:vMerge w:val="restart"/>
            <w:tcBorders>
              <w:tl2br w:val="nil"/>
              <w:tr2bl w:val="nil"/>
            </w:tcBorders>
            <w:vAlign w:val="center"/>
          </w:tcPr>
          <w:p>
            <w:pPr>
              <w:keepNext w:val="0"/>
              <w:keepLines w:val="0"/>
              <w:pageBreakBefore w:val="0"/>
              <w:kinsoku/>
              <w:wordWrap/>
              <w:overflowPunct w:val="0"/>
              <w:topLinePunct/>
              <w:autoSpaceDE/>
              <w:autoSpaceDN/>
              <w:bidi w:val="0"/>
              <w:jc w:val="center"/>
              <w:rPr>
                <w:rFonts w:hint="default"/>
                <w:b w:val="0"/>
                <w:bCs w:val="0"/>
                <w:color w:val="auto"/>
                <w:sz w:val="21"/>
                <w:szCs w:val="21"/>
                <w:lang w:val="en-US" w:eastAsia="zh-CN" w:bidi="ar"/>
              </w:rPr>
            </w:pPr>
            <w:r>
              <w:rPr>
                <w:rFonts w:hint="eastAsia"/>
                <w:b w:val="0"/>
                <w:bCs w:val="0"/>
                <w:color w:val="auto"/>
                <w:sz w:val="21"/>
                <w:szCs w:val="21"/>
                <w:lang w:val="en-US" w:eastAsia="zh-CN" w:bidi="ar"/>
              </w:rPr>
              <w:t>/</w:t>
            </w:r>
          </w:p>
        </w:tc>
        <w:tc>
          <w:tcPr>
            <w:tcW w:w="695" w:type="dxa"/>
            <w:tcBorders>
              <w:tl2br w:val="nil"/>
              <w:tr2bl w:val="nil"/>
            </w:tcBorders>
            <w:vAlign w:val="center"/>
          </w:tcPr>
          <w:p>
            <w:pPr>
              <w:keepNext w:val="0"/>
              <w:keepLines w:val="0"/>
              <w:pageBreakBefore w:val="0"/>
              <w:kinsoku/>
              <w:wordWrap/>
              <w:overflowPunct w:val="0"/>
              <w:topLinePunct/>
              <w:autoSpaceDE/>
              <w:autoSpaceDN/>
              <w:bidi w:val="0"/>
              <w:jc w:val="center"/>
              <w:rPr>
                <w:rFonts w:hint="default" w:ascii="Times New Roman" w:hAnsi="Times New Roman" w:eastAsia="宋体" w:cs="Times New Roman"/>
                <w:color w:val="auto"/>
                <w:spacing w:val="0"/>
                <w:kern w:val="0"/>
                <w:sz w:val="21"/>
                <w:szCs w:val="21"/>
              </w:rPr>
            </w:pPr>
            <w:r>
              <w:rPr>
                <w:rFonts w:hint="eastAsia"/>
                <w:b w:val="0"/>
                <w:bCs w:val="0"/>
                <w:color w:val="auto"/>
                <w:sz w:val="21"/>
                <w:szCs w:val="21"/>
                <w:lang w:val="en-US" w:eastAsia="zh-CN" w:bidi="ar"/>
              </w:rPr>
              <w:t>空间布局约束</w:t>
            </w:r>
          </w:p>
        </w:tc>
        <w:tc>
          <w:tcPr>
            <w:tcW w:w="5983" w:type="dxa"/>
            <w:tcBorders>
              <w:tl2br w:val="nil"/>
              <w:tr2bl w:val="nil"/>
            </w:tcBorders>
            <w:vAlign w:val="center"/>
          </w:tcPr>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国家及地方法律法规、规章对国家公园、自然保护区、风景名胜区、世界自然和文化遗产、饮用水水源保护区、生态保护红线、自然公园（森林公园、湿地公园、地质公园、沙漠公园等）、水产种质资源保护区、重要湿地、国家级公益林等保护区域的禁止性和限制性要求。</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执行《市场准入负面清单（2022年版）》《产业结构调整指导目录（2019年本）》及《国家发展改革委关于修改&lt;产业结构调整指导目录（2019年本）&gt;的决定》。</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执行《矿产资源节约与综合利用鼓励、限制和淘汰技术目录》。</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严把“两高”项目环境准入关。坚决遏制高耗能、高排放项目盲目发展。</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重点淘汰未完成超低排放改造的火电、钢铁、建材行业产能。推动重污染企业搬迁入园或依法关闭。实施工业企业退城搬迁改造，除部分必须依托城市生产或直接服务于城市的工业企业外，原则上在2027年底前达不到能效标杆和环保绩效级（含绩效引领）企业由当地政府组织搬迁至主城区以外的开发区和工业园区。</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6</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不再新建燃煤集中供热站。各市（区）建成区禁止新建燃煤锅炉。</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7</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在永久基本农田集中区域，不得规划新建可能造成土壤污染的建设项目。</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8</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执行《中华人民共和国黄河保护法》《黄河流域生态保护和高质量发展规划纲要》。</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9</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执行《陕西省黄河流域生态保护和高质量发展规划》《陕西省黄河流域生态环境保护规划》《陕西省黄河生态保护治理攻坚战实施方案》。</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10</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执行《中华人民共和国长江保护法》。</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执行《陕西省秦岭生态环境保护条例》《陕西省秦岭重点保护区一般保护区产业准入清单》。</w:t>
            </w:r>
          </w:p>
          <w:p>
            <w:pPr>
              <w:keepNext w:val="0"/>
              <w:keepLines w:val="0"/>
              <w:pageBreakBefore w:val="0"/>
              <w:widowControl/>
              <w:kinsoku/>
              <w:wordWrap/>
              <w:overflowPunct w:val="0"/>
              <w:topLinePunct/>
              <w:autoSpaceDE/>
              <w:autoSpaceDN/>
              <w:bidi w:val="0"/>
              <w:adjustRightInd w:val="0"/>
              <w:snapToGrid w:val="0"/>
              <w:spacing w:line="240" w:lineRule="auto"/>
              <w:ind w:left="0" w:leftChars="0" w:right="0" w:rightChars="0" w:firstLine="0" w:firstLineChars="0"/>
              <w:jc w:val="left"/>
              <w:textAlignment w:val="baseline"/>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w w:val="100"/>
                <w:sz w:val="21"/>
                <w:szCs w:val="21"/>
              </w:rPr>
              <w:t>12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在秦岭核心保护区和重点保护区内禁止新设采矿权，秦岭主梁以北、封山育林区、禁牧区内禁止新设采石采矿权，严格控制和规范在秦岭一般保护区的露天采矿活动。</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numPr>
                <w:ilvl w:val="0"/>
                <w:numId w:val="8"/>
              </w:numPr>
              <w:kinsoku/>
              <w:wordWrap/>
              <w:overflowPunct w:val="0"/>
              <w:topLinePunct/>
              <w:autoSpaceDE/>
              <w:autoSpaceDN/>
              <w:bidi w:val="0"/>
              <w:jc w:val="center"/>
              <w:rPr>
                <w:rFonts w:hint="eastAsia"/>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本项目符合</w:t>
            </w:r>
            <w:r>
              <w:rPr>
                <w:rFonts w:hint="default" w:ascii="Times New Roman" w:hAnsi="Times New Roman" w:eastAsia="宋体" w:cs="Times New Roman"/>
                <w:color w:val="auto"/>
                <w:spacing w:val="0"/>
                <w:w w:val="100"/>
                <w:sz w:val="21"/>
                <w:szCs w:val="21"/>
              </w:rPr>
              <w:t>《市场准入负面清单（2022年版）》</w:t>
            </w:r>
            <w:r>
              <w:rPr>
                <w:rFonts w:hint="eastAsia"/>
                <w:color w:val="auto"/>
                <w:kern w:val="0"/>
                <w:sz w:val="21"/>
                <w:szCs w:val="21"/>
              </w:rPr>
              <w:t>《产业结构调整指导目录（20</w:t>
            </w:r>
            <w:r>
              <w:rPr>
                <w:rFonts w:hint="eastAsia"/>
                <w:color w:val="auto"/>
                <w:kern w:val="0"/>
                <w:sz w:val="21"/>
                <w:szCs w:val="21"/>
                <w:lang w:val="en-US" w:eastAsia="zh-CN"/>
              </w:rPr>
              <w:t>24</w:t>
            </w:r>
            <w:r>
              <w:rPr>
                <w:rFonts w:hint="eastAsia"/>
                <w:color w:val="auto"/>
                <w:kern w:val="0"/>
                <w:sz w:val="21"/>
                <w:szCs w:val="21"/>
              </w:rPr>
              <w:t>年本）》</w:t>
            </w:r>
            <w:r>
              <w:rPr>
                <w:rFonts w:hint="default" w:ascii="Times New Roman" w:hAnsi="Times New Roman" w:eastAsia="宋体" w:cs="Times New Roman"/>
                <w:color w:val="auto"/>
                <w:spacing w:val="0"/>
                <w:w w:val="100"/>
                <w:sz w:val="21"/>
                <w:szCs w:val="21"/>
              </w:rPr>
              <w:t>及《国家发展改革委关于修改&lt;产业结构调整指导目录（2019年本）&gt;的决定》</w:t>
            </w:r>
            <w:r>
              <w:rPr>
                <w:rFonts w:hint="eastAsia" w:cs="Times New Roman"/>
                <w:color w:val="auto"/>
                <w:spacing w:val="0"/>
                <w:w w:val="100"/>
                <w:sz w:val="21"/>
                <w:szCs w:val="21"/>
                <w:lang w:eastAsia="zh-CN"/>
              </w:rPr>
              <w:t>；</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s="Times New Roman"/>
                <w:color w:val="auto"/>
                <w:spacing w:val="0"/>
                <w:w w:val="100"/>
                <w:sz w:val="21"/>
                <w:szCs w:val="21"/>
                <w:lang w:val="en-US" w:eastAsia="zh-CN"/>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color w:val="auto"/>
                <w:sz w:val="21"/>
                <w:szCs w:val="21"/>
              </w:rPr>
              <w:t>本项目</w:t>
            </w:r>
            <w:r>
              <w:rPr>
                <w:rFonts w:hint="eastAsia"/>
                <w:color w:val="auto"/>
                <w:sz w:val="21"/>
                <w:szCs w:val="21"/>
                <w:lang w:val="en-US" w:eastAsia="zh-CN"/>
              </w:rPr>
              <w:t>符合</w:t>
            </w:r>
            <w:r>
              <w:rPr>
                <w:color w:val="auto"/>
                <w:sz w:val="21"/>
                <w:szCs w:val="21"/>
              </w:rPr>
              <w:t>《重污染天气重点行业应急减排措施制定技术指南（2020年修订版）》中规定的</w:t>
            </w:r>
            <w:r>
              <w:rPr>
                <w:rFonts w:hint="eastAsia"/>
                <w:color w:val="auto"/>
                <w:sz w:val="21"/>
                <w:szCs w:val="21"/>
                <w:lang w:val="en-US" w:eastAsia="zh-CN"/>
              </w:rPr>
              <w:t>玻璃后加工引领性指标</w:t>
            </w:r>
            <w:r>
              <w:rPr>
                <w:rFonts w:hint="eastAsia"/>
                <w:color w:val="auto"/>
                <w:sz w:val="21"/>
                <w:szCs w:val="21"/>
                <w:lang w:val="en-US" w:eastAsia="zh-CN" w:bidi="ar"/>
              </w:rPr>
              <w:t>；</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本项目不向地表水体排放污水，租赁园区厂房，不破坏生态环境；</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本项目符合</w:t>
            </w:r>
            <w:r>
              <w:rPr>
                <w:rFonts w:hint="default" w:ascii="Times New Roman" w:hAnsi="Times New Roman" w:eastAsia="宋体" w:cs="Times New Roman"/>
                <w:color w:val="auto"/>
                <w:spacing w:val="0"/>
                <w:w w:val="100"/>
                <w:sz w:val="21"/>
                <w:szCs w:val="21"/>
              </w:rPr>
              <w:t>《陕西省黄河流域生态保护和高质量发展规划》《陕西省黄河流域生态环境保护规划》《陕西省黄河生态保护治理攻坚战实施方案》</w:t>
            </w:r>
            <w:r>
              <w:rPr>
                <w:rFonts w:hint="eastAsia" w:cs="Times New Roman"/>
                <w:color w:val="auto"/>
                <w:spacing w:val="0"/>
                <w:w w:val="100"/>
                <w:sz w:val="21"/>
                <w:szCs w:val="21"/>
                <w:lang w:eastAsia="zh-CN"/>
              </w:rPr>
              <w:t>；</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8"/>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695" w:type="dxa"/>
            <w:tcBorders>
              <w:tl2br w:val="nil"/>
              <w:tr2bl w:val="nil"/>
            </w:tcBorders>
            <w:vAlign w:val="center"/>
          </w:tcPr>
          <w:p>
            <w:pPr>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污染物排放管控</w:t>
            </w:r>
          </w:p>
        </w:tc>
        <w:tc>
          <w:tcPr>
            <w:tcW w:w="5983" w:type="dxa"/>
            <w:tcBorders>
              <w:tl2br w:val="nil"/>
              <w:tr2bl w:val="nil"/>
            </w:tcBorders>
            <w:vAlign w:val="top"/>
          </w:tcPr>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按照煤炭集中使用、清洁利用原则，重点削减小型燃煤锅炉、民用散煤与农业用煤消费量，对以煤、石焦、渣油、重油等为燃料的锅炉和工业炉窑，加快使用清洁低碳能源以及工厂余热、电力热力等进行替代。</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2023年底前，关中地区钢铁企业完成超低排放改造，其他地区钢铁企业于2025年底前完成改造。2025年底前，80%左右水泥熟料产能和60%左右独立粉磨站完成超低排放改造，西安市、咸阳市、渭南市全面完成改造，其他地区2027年底前全部完成。2025年底前，焦化行业独立焦化企业100%产能全面完成超低排放改造；2027年底前，半焦生产基本完成改造。推动燃气锅炉实施低氮燃烧深度改造，鼓励企业将氮氧化物浓度控制在30毫克/立方米。</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全省黄河流域城镇生活污水处理达到《陕西省黄河流域污水综合排放标准》（DB61/224-2018）排放限值要求。汉江、丹江流域城镇污水处理设施执行《汉丹江流域（陕西段）重点行业水污染物排放限值》。</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在矿产资源开发利用集中区域、安全利用类和严格管控类耕地集中区涉及的县（区），执行《铅、锌工业污染物排放标准》《铜、镍、钴工业污染物排放标准》《无机化学工业污染物排放标准》中颗粒物和镉等重点重金属特别排放限值。</w:t>
            </w:r>
          </w:p>
          <w:p>
            <w:pPr>
              <w:keepNext w:val="0"/>
              <w:keepLines w:val="0"/>
              <w:pageBreakBefore w:val="0"/>
              <w:widowControl/>
              <w:kinsoku/>
              <w:wordWrap/>
              <w:overflowPunct w:val="0"/>
              <w:topLinePunct/>
              <w:autoSpaceDE/>
              <w:autoSpaceDN/>
              <w:bidi w:val="0"/>
              <w:adjustRightInd w:val="0"/>
              <w:snapToGrid w:val="0"/>
              <w:spacing w:line="240" w:lineRule="auto"/>
              <w:ind w:left="0" w:leftChars="0" w:right="0" w:rightChars="0" w:firstLine="0" w:firstLineChars="0"/>
              <w:jc w:val="left"/>
              <w:textAlignment w:val="baseline"/>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w w:val="100"/>
                <w:sz w:val="21"/>
                <w:szCs w:val="21"/>
              </w:rPr>
              <w:t>5</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矿井水在充分利用后仍有剩余且确需外排的，经处理后拟外排的，除应符合相关法律法规政策外，其相关水质因子值还应满足或优于受纳水体环境功能区划规定的地表水环境质量对应值，含盐量不得超过1000毫克/升，且不得影响上下游相关河段水功能需求。</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numPr>
                <w:ilvl w:val="0"/>
                <w:numId w:val="9"/>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9"/>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9"/>
              </w:numPr>
              <w:kinsoku/>
              <w:wordWrap/>
              <w:overflowPunct w:val="0"/>
              <w:topLinePunct/>
              <w:autoSpaceDE/>
              <w:autoSpaceDN/>
              <w:bidi w:val="0"/>
              <w:ind w:left="0" w:leftChars="0" w:firstLine="0" w:firstLineChars="0"/>
              <w:jc w:val="left"/>
              <w:rPr>
                <w:rFonts w:hint="eastAsia"/>
                <w:color w:val="auto"/>
                <w:sz w:val="21"/>
                <w:szCs w:val="21"/>
                <w:lang w:eastAsia="zh-CN"/>
              </w:rPr>
            </w:pPr>
            <w:r>
              <w:rPr>
                <w:rFonts w:hint="eastAsia"/>
                <w:color w:val="auto"/>
                <w:sz w:val="21"/>
                <w:szCs w:val="21"/>
                <w:lang w:val="en-US" w:eastAsia="zh-CN" w:bidi="ar"/>
              </w:rPr>
              <w:t>本项目生活污水依托园区</w:t>
            </w:r>
            <w:r>
              <w:rPr>
                <w:rFonts w:hint="eastAsia"/>
                <w:color w:val="auto"/>
                <w:sz w:val="21"/>
                <w:szCs w:val="21"/>
                <w:lang w:val="en-US" w:eastAsia="zh-CN"/>
              </w:rPr>
              <w:t>化粪池处理后</w:t>
            </w:r>
            <w:r>
              <w:rPr>
                <w:color w:val="auto"/>
                <w:sz w:val="21"/>
                <w:szCs w:val="21"/>
              </w:rPr>
              <w:t>经市政管网排至泾河新城第二污水处理厂进行处理</w:t>
            </w:r>
            <w:r>
              <w:rPr>
                <w:rFonts w:hint="eastAsia"/>
                <w:color w:val="auto"/>
                <w:sz w:val="21"/>
                <w:szCs w:val="21"/>
                <w:lang w:eastAsia="zh-CN"/>
              </w:rPr>
              <w:t>；</w:t>
            </w:r>
          </w:p>
          <w:p>
            <w:pPr>
              <w:keepNext w:val="0"/>
              <w:keepLines w:val="0"/>
              <w:pageBreakBefore w:val="0"/>
              <w:numPr>
                <w:ilvl w:val="0"/>
                <w:numId w:val="9"/>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9"/>
              </w:numPr>
              <w:kinsoku/>
              <w:wordWrap/>
              <w:overflowPunct w:val="0"/>
              <w:topLinePunct/>
              <w:autoSpaceDE/>
              <w:autoSpaceDN/>
              <w:bidi w:val="0"/>
              <w:jc w:val="center"/>
              <w:rPr>
                <w:rFonts w:hint="eastAsia"/>
                <w:color w:val="auto"/>
                <w:sz w:val="21"/>
                <w:szCs w:val="21"/>
                <w:lang w:eastAsia="zh-CN"/>
              </w:rPr>
            </w:pPr>
            <w:r>
              <w:rPr>
                <w:rFonts w:hint="eastAsia"/>
                <w:color w:val="auto"/>
                <w:sz w:val="21"/>
                <w:szCs w:val="21"/>
                <w:lang w:val="en-US" w:eastAsia="zh-CN" w:bidi="ar"/>
              </w:rPr>
              <w:t>本项目不涉及。</w:t>
            </w:r>
          </w:p>
          <w:p>
            <w:pPr>
              <w:keepNext w:val="0"/>
              <w:keepLines w:val="0"/>
              <w:pageBreakBefore w:val="0"/>
              <w:numPr>
                <w:ilvl w:val="0"/>
                <w:numId w:val="0"/>
              </w:numPr>
              <w:kinsoku/>
              <w:wordWrap/>
              <w:overflowPunct w:val="0"/>
              <w:topLinePunct/>
              <w:autoSpaceDE/>
              <w:autoSpaceDN/>
              <w:bidi w:val="0"/>
              <w:jc w:val="both"/>
              <w:rPr>
                <w:rFonts w:hint="default"/>
                <w:color w:val="auto"/>
                <w:sz w:val="21"/>
                <w:szCs w:val="21"/>
                <w:lang w:val="en-US" w:eastAsia="zh-CN" w:bidi="ar"/>
              </w:rPr>
            </w:pPr>
          </w:p>
          <w:p>
            <w:pPr>
              <w:keepNext w:val="0"/>
              <w:keepLines w:val="0"/>
              <w:pageBreakBefore w:val="0"/>
              <w:kinsoku/>
              <w:wordWrap/>
              <w:overflowPunct w:val="0"/>
              <w:topLinePunct/>
              <w:autoSpaceDE/>
              <w:autoSpaceDN/>
              <w:bidi w:val="0"/>
              <w:jc w:val="center"/>
              <w:rPr>
                <w:rFonts w:hint="default"/>
                <w:color w:val="auto"/>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695" w:type="dxa"/>
            <w:tcBorders>
              <w:tl2br w:val="nil"/>
              <w:tr2bl w:val="nil"/>
            </w:tcBorders>
            <w:vAlign w:val="center"/>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环境风险防控</w:t>
            </w:r>
          </w:p>
        </w:tc>
        <w:tc>
          <w:tcPr>
            <w:tcW w:w="5983" w:type="dxa"/>
            <w:tcBorders>
              <w:tl2br w:val="nil"/>
              <w:tr2bl w:val="nil"/>
            </w:tcBorders>
            <w:vAlign w:val="top"/>
          </w:tcPr>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加强重点饮用水水源地河流、重要跨界河流以及其他敏感水体风险防控，编制“一河一策一图”应急处置方案。</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将环境风险纳入常态化管理，推进危险废物、重金属及尾矿环境、核与辐射等重点领域环境风险防控，加强新污染物治理，健全环境应急体系，推动环境风险防控由应急管理向全过程管理转变，提升生态环境安全保障水平。</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在矿产开发集中区域实施有色金属等行业污染整治提升行动，加大有色金属行业企业生产工艺提升改造力度，锌冶炼企业加快竖罐炼锌设备替代改造。深入推进涉重企业清洁生产，开展有色、钢铁、硫酸、磷肥等行业企业涉铊废水治理。</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加强尾矿库污染治理。全面排查所有在用、停用、闭库、废弃及闭库后再利用的尾矿库，摸清尾矿库运行情况和污染源情况，划分环境风险等级，完善尾矿库污染治理设施，储备应急物资，最大限度降低溃坝等事故污染农田、水体等敏感受体的风险。</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严格新（改、扩）建尾矿库环境准入，加强尾矿库渗滤液收集处置，鼓励尾矿渣综合利用，无主尾矿库应由当地人民政府依法闭库或封场绿化，防止水土流失和环境损害。</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6</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对使用有毒有害化学物质或在生产过程中排放国家认定的新污染物的企业，全面实施强制性清洁生产审核。加强石化、涂料、纺织印染、橡胶、医药等行业新污染物环境风险管控。</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7</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落实工业企业环境风险防范主体责任。以石油加工、煤化工、化学原料和化学制品制造、涉重金属企业为重点，合理布设企业生产设施，强化工业企业应急导流槽、事故调蓄池、雨污总排口应急闸坝等事故排水收集截留设施，以及传输泵、配套管线、应急发电等事故水输送设施等建设，合理设置消防处置用事故水池和雨水监测池。</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8</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排放《有毒有害水污染物名录》中所列有毒有害水污染物的企事业单位和其他生产经营者，应当对排污口和周边环境进行监测，评估环境风险，排查环境安全隐患，并公开有毒有害水污染物信息，采取有效措施防范环境风险。</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9</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完善土壤、地下水和农业农村污染防治法规标准体系，健全风险管控和修复制度，强化监管执法和环境监测能力建设，健全环境监测网络，健全土壤、地下水污染防治数据管理信息系统平台，提升科技支撑能力，推进治理能力和治理体系现代化。</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10</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针对存在地下水污染的工业集聚区（以化工产业为主导）、危险废物处置场和生活垃圾填埋场等，实施地下水污染风险管控，阻止污染扩散。</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以涉石油、煤炭产业链输送链，涉危险废物涉重金属企业、化工园区为重点，加强黄河流域重要支流、跨界河流以及其他环境敏感目标环境风险防范与治理。</w:t>
            </w:r>
          </w:p>
          <w:p>
            <w:pPr>
              <w:keepNext w:val="0"/>
              <w:keepLines w:val="0"/>
              <w:pageBreakBefore w:val="0"/>
              <w:widowControl/>
              <w:kinsoku/>
              <w:wordWrap/>
              <w:overflowPunct w:val="0"/>
              <w:topLinePunct/>
              <w:autoSpaceDE/>
              <w:autoSpaceDN/>
              <w:bidi w:val="0"/>
              <w:adjustRightInd w:val="0"/>
              <w:snapToGrid w:val="0"/>
              <w:spacing w:line="240" w:lineRule="auto"/>
              <w:ind w:left="0" w:leftChars="0" w:right="0" w:rightChars="0" w:firstLine="0" w:firstLineChars="0"/>
              <w:jc w:val="left"/>
              <w:textAlignment w:val="baseline"/>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w w:val="100"/>
                <w:sz w:val="21"/>
                <w:szCs w:val="21"/>
              </w:rPr>
              <w:t>12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完善黄河干流以及重要支流上下游联防联控机制，加强省、市、县三级和重点企业应急物资库建设，加强以石化、化工等重点行业、油气管道环境风险防范，建立健全新污染物治理体系。</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环评建议根据相关规定编制完成突发环境事件应急预案的编制并备案；</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numPr>
                <w:ilvl w:val="0"/>
                <w:numId w:val="10"/>
              </w:numPr>
              <w:kinsoku/>
              <w:wordWrap/>
              <w:overflowPunct w:val="0"/>
              <w:topLinePunct/>
              <w:autoSpaceDE/>
              <w:autoSpaceDN/>
              <w:bidi w:val="0"/>
              <w:jc w:val="center"/>
              <w:rPr>
                <w:rFonts w:hint="default"/>
                <w:color w:val="auto"/>
                <w:sz w:val="21"/>
                <w:szCs w:val="21"/>
                <w:lang w:val="en-US" w:eastAsia="zh-CN" w:bidi="ar"/>
              </w:rPr>
            </w:pPr>
            <w:r>
              <w:rPr>
                <w:rFonts w:hint="eastAsia"/>
                <w:color w:val="auto"/>
                <w:sz w:val="21"/>
                <w:szCs w:val="21"/>
                <w:lang w:val="en-US" w:eastAsia="zh-CN" w:bidi="ar"/>
              </w:rPr>
              <w:t>本项目不涉及。</w:t>
            </w:r>
          </w:p>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9"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5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462"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b w:val="0"/>
                <w:bCs w:val="0"/>
                <w:color w:val="auto"/>
                <w:sz w:val="21"/>
                <w:szCs w:val="21"/>
                <w:lang w:bidi="ar"/>
              </w:rPr>
            </w:pPr>
          </w:p>
        </w:tc>
        <w:tc>
          <w:tcPr>
            <w:tcW w:w="63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bidi="ar"/>
              </w:rPr>
            </w:pPr>
          </w:p>
        </w:tc>
        <w:tc>
          <w:tcPr>
            <w:tcW w:w="968"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rPr>
            </w:pPr>
          </w:p>
        </w:tc>
        <w:tc>
          <w:tcPr>
            <w:tcW w:w="671"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b w:val="0"/>
                <w:bCs w:val="0"/>
                <w:color w:val="auto"/>
                <w:sz w:val="21"/>
                <w:szCs w:val="21"/>
                <w:lang w:val="en-US" w:eastAsia="zh-CN" w:bidi="ar"/>
              </w:rPr>
            </w:pPr>
          </w:p>
        </w:tc>
        <w:tc>
          <w:tcPr>
            <w:tcW w:w="695" w:type="dxa"/>
            <w:tcBorders>
              <w:tl2br w:val="nil"/>
              <w:tr2bl w:val="nil"/>
            </w:tcBorders>
            <w:vAlign w:val="center"/>
          </w:tcPr>
          <w:p>
            <w:pPr>
              <w:pStyle w:val="105"/>
              <w:keepNext w:val="0"/>
              <w:keepLines w:val="0"/>
              <w:pageBreakBefore w:val="0"/>
              <w:widowControl w:val="0"/>
              <w:kinsoku/>
              <w:wordWrap/>
              <w:overflowPunct w:val="0"/>
              <w:topLinePunct/>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0"/>
                <w:kern w:val="0"/>
                <w:sz w:val="21"/>
                <w:szCs w:val="21"/>
              </w:rPr>
            </w:pPr>
            <w:r>
              <w:rPr>
                <w:rFonts w:hint="default" w:ascii="Times New Roman" w:hAnsi="Times New Roman" w:eastAsia="宋体" w:cs="Times New Roman"/>
                <w:color w:val="auto"/>
                <w:spacing w:val="0"/>
                <w:kern w:val="0"/>
                <w:sz w:val="21"/>
                <w:szCs w:val="21"/>
              </w:rPr>
              <w:t>资源开发效率要求</w:t>
            </w:r>
          </w:p>
        </w:tc>
        <w:tc>
          <w:tcPr>
            <w:tcW w:w="5983" w:type="dxa"/>
            <w:tcBorders>
              <w:tl2br w:val="nil"/>
              <w:tr2bl w:val="nil"/>
            </w:tcBorders>
            <w:vAlign w:val="center"/>
          </w:tcPr>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2025年，陕西省用水总量107.0亿立方米，万元国内生产总值用水量比2020年下降12%，万元工业增加值用水量比2020年下降10%。</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2</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到2025年，非化石能源消费比重达16%，可再生电力装机总量达到6500万千瓦。到2030年，非化石能源消费比重达到20%左右。</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3</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到2025年陕北、关中地级城市再生水利用率达到25%以上，陕南地区再生水利用率不低于10%。</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4</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对地下水超采区继续采取高效节水、域外调水替代、封井等措施，大力减少地下水开采量。</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5</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稳妥有序推进大气污染防治重点区域燃料类煤气发生炉、燃煤热风炉、加热炉、热处理炉、干燥炉（窑）以及建材行业煤炭减量，实施清洁电力和天然气替代。</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6</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推广大型燃煤电厂热电联产改造，充分挖掘供热潜力，推动淘汰供热管网覆盖范围内的燃煤锅炉和散煤。加大落后燃煤锅炉和燃煤小热电退出力度，推动以工业余热、电厂余热、清洁能源等替代煤炭供热（蒸汽）。</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7</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推动能源供给体系清洁化、低碳化和终端能源消费电气化。推进煤炭绿色智能开采、清洁安全高效利用，发展清洁高效煤电。实施可再生能源替代行动。推进多元储能系统建设与应用。持续推进冬季清洁取暖。实施城乡配电网建设和智能升级计划。</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8</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加快固废综合利用和技术创新，推动冶炼废渣、脱硫石膏、结晶杂盐、金属镁渣、电石渣、气化渣、尾矿等大宗业固废的高水平利用。</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9</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到2025年，地级以上城市污泥无害化处理处置率达到95%以上，其他市县达到80%以上。到2025年，新增大宗固体废物综合利用率达到60%，存量大宗固体废物有序减少。</w:t>
            </w:r>
          </w:p>
          <w:p>
            <w:pPr>
              <w:keepNext w:val="0"/>
              <w:keepLines w:val="0"/>
              <w:pageBreakBefore w:val="0"/>
              <w:widowControl/>
              <w:kinsoku/>
              <w:wordWrap/>
              <w:overflowPunct w:val="0"/>
              <w:topLinePunct/>
              <w:autoSpaceDE/>
              <w:autoSpaceDN/>
              <w:bidi w:val="0"/>
              <w:adjustRightInd w:val="0"/>
              <w:snapToGrid w:val="0"/>
              <w:spacing w:line="240" w:lineRule="auto"/>
              <w:ind w:left="0" w:right="0" w:firstLine="0"/>
              <w:jc w:val="left"/>
              <w:textAlignment w:val="baseline"/>
              <w:rPr>
                <w:rFonts w:hint="default" w:ascii="Times New Roman" w:hAnsi="Times New Roman" w:eastAsia="宋体" w:cs="Times New Roman"/>
                <w:color w:val="auto"/>
                <w:spacing w:val="0"/>
                <w:w w:val="100"/>
                <w:sz w:val="21"/>
                <w:szCs w:val="21"/>
              </w:rPr>
            </w:pPr>
            <w:r>
              <w:rPr>
                <w:rFonts w:hint="default" w:ascii="Times New Roman" w:hAnsi="Times New Roman" w:eastAsia="宋体" w:cs="Times New Roman"/>
                <w:color w:val="auto"/>
                <w:spacing w:val="0"/>
                <w:w w:val="100"/>
                <w:sz w:val="21"/>
                <w:szCs w:val="21"/>
              </w:rPr>
              <w:t>10</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鼓励煤矿采用煤矸石井下充填开采技术处置煤矸石，提高煤矸石利用率。鼓励金属矿山采取科学的开采方法和选矿工艺，加强尾矿资源的二次选矿，综合回收有益组份，合理利用矿山固体废弃物与尾矿，减少废渣、弃石、尾矿等的产生量和贮存量。加强水泥用灰岩、建筑石料等露天建材非金属矿内外剥离物的综合利用。</w:t>
            </w:r>
          </w:p>
          <w:p>
            <w:pPr>
              <w:keepNext w:val="0"/>
              <w:keepLines w:val="0"/>
              <w:pageBreakBefore w:val="0"/>
              <w:widowControl/>
              <w:kinsoku/>
              <w:wordWrap/>
              <w:overflowPunct w:val="0"/>
              <w:topLinePunct/>
              <w:autoSpaceDE/>
              <w:autoSpaceDN/>
              <w:bidi w:val="0"/>
              <w:adjustRightInd w:val="0"/>
              <w:snapToGrid w:val="0"/>
              <w:spacing w:line="240" w:lineRule="auto"/>
              <w:ind w:left="0" w:leftChars="0" w:right="0" w:rightChars="0" w:firstLine="0" w:firstLineChars="0"/>
              <w:jc w:val="left"/>
              <w:textAlignment w:val="baseline"/>
              <w:rPr>
                <w:rFonts w:hint="default" w:ascii="Times New Roman" w:hAnsi="Times New Roman" w:eastAsia="宋体" w:cs="Times New Roman"/>
                <w:color w:val="auto"/>
                <w:spacing w:val="0"/>
                <w:sz w:val="21"/>
                <w:szCs w:val="21"/>
              </w:rPr>
            </w:pPr>
            <w:r>
              <w:rPr>
                <w:rFonts w:hint="default" w:ascii="Times New Roman" w:hAnsi="Times New Roman" w:eastAsia="宋体" w:cs="Times New Roman"/>
                <w:color w:val="auto"/>
                <w:spacing w:val="0"/>
                <w:w w:val="100"/>
                <w:sz w:val="21"/>
                <w:szCs w:val="21"/>
              </w:rPr>
              <w:t>11</w:t>
            </w:r>
            <w:r>
              <w:rPr>
                <w:rFonts w:hint="eastAsia" w:ascii="Times New Roman" w:hAnsi="Times New Roman" w:eastAsia="宋体" w:cs="Times New Roman"/>
                <w:color w:val="auto"/>
                <w:spacing w:val="0"/>
                <w:w w:val="100"/>
                <w:sz w:val="21"/>
                <w:szCs w:val="21"/>
                <w:lang w:val="en-US" w:eastAsia="zh-CN"/>
              </w:rPr>
              <w:t>.</w:t>
            </w:r>
            <w:r>
              <w:rPr>
                <w:rFonts w:hint="default" w:ascii="Times New Roman" w:hAnsi="Times New Roman" w:eastAsia="宋体" w:cs="Times New Roman"/>
                <w:color w:val="auto"/>
                <w:spacing w:val="0"/>
                <w:w w:val="100"/>
                <w:sz w:val="21"/>
                <w:szCs w:val="21"/>
              </w:rPr>
              <w:t>煤炭开采过程中产生的矿井水应当综合利用，优先用于矿区补充用水、周边地区生产生态用水，加强洗煤废水循环利用，提高矿井水综合利用率。</w:t>
            </w:r>
          </w:p>
        </w:tc>
        <w:tc>
          <w:tcPr>
            <w:tcW w:w="767" w:type="dxa"/>
            <w:vMerge w:val="continue"/>
            <w:tcBorders>
              <w:tl2br w:val="nil"/>
              <w:tr2bl w:val="nil"/>
            </w:tcBorders>
            <w:vAlign w:val="center"/>
          </w:tcPr>
          <w:p>
            <w:pPr>
              <w:keepNext w:val="0"/>
              <w:keepLines w:val="0"/>
              <w:pageBreakBefore w:val="0"/>
              <w:kinsoku/>
              <w:wordWrap/>
              <w:overflowPunct w:val="0"/>
              <w:topLinePunct/>
              <w:autoSpaceDE/>
              <w:autoSpaceDN/>
              <w:bidi w:val="0"/>
              <w:jc w:val="center"/>
              <w:rPr>
                <w:rFonts w:hint="eastAsia"/>
                <w:color w:val="auto"/>
                <w:sz w:val="21"/>
                <w:szCs w:val="21"/>
                <w:lang w:val="en-US" w:eastAsia="zh-CN" w:bidi="ar"/>
              </w:rPr>
            </w:pPr>
          </w:p>
        </w:tc>
        <w:tc>
          <w:tcPr>
            <w:tcW w:w="2160" w:type="dxa"/>
            <w:tcBorders>
              <w:tl2br w:val="nil"/>
              <w:tr2bl w:val="nil"/>
            </w:tcBorders>
            <w:vAlign w:val="center"/>
          </w:tcPr>
          <w:p>
            <w:pPr>
              <w:keepNext w:val="0"/>
              <w:keepLines w:val="0"/>
              <w:pageBreakBefore w:val="0"/>
              <w:numPr>
                <w:ilvl w:val="0"/>
                <w:numId w:val="0"/>
              </w:numPr>
              <w:kinsoku/>
              <w:wordWrap/>
              <w:overflowPunct w:val="0"/>
              <w:topLinePunct/>
              <w:autoSpaceDE/>
              <w:autoSpaceDN/>
              <w:bidi w:val="0"/>
              <w:jc w:val="center"/>
              <w:rPr>
                <w:rFonts w:hint="eastAsia"/>
                <w:color w:val="auto"/>
                <w:sz w:val="21"/>
                <w:szCs w:val="21"/>
                <w:lang w:val="en-US" w:eastAsia="zh-CN" w:bidi="ar"/>
              </w:rPr>
            </w:pPr>
            <w:r>
              <w:rPr>
                <w:rFonts w:hint="eastAsia" w:ascii="Times New Roman" w:hAnsi="Times New Roman" w:eastAsia="宋体" w:cs="Times New Roman"/>
                <w:color w:val="auto"/>
                <w:kern w:val="2"/>
                <w:sz w:val="21"/>
                <w:szCs w:val="21"/>
                <w:lang w:val="en-US" w:eastAsia="zh-CN" w:bidi="ar"/>
              </w:rPr>
              <w:t>1、</w:t>
            </w:r>
            <w:r>
              <w:rPr>
                <w:rFonts w:hint="eastAsia"/>
                <w:color w:val="auto"/>
                <w:sz w:val="21"/>
                <w:szCs w:val="21"/>
                <w:lang w:val="en-US" w:eastAsia="zh-CN" w:bidi="ar"/>
              </w:rPr>
              <w:t>本项目用水为生活用水，无生产用水；</w:t>
            </w:r>
          </w:p>
          <w:p>
            <w:pPr>
              <w:keepNext w:val="0"/>
              <w:keepLines w:val="0"/>
              <w:pageBreakBefore w:val="0"/>
              <w:numPr>
                <w:ilvl w:val="0"/>
                <w:numId w:val="0"/>
              </w:numPr>
              <w:kinsoku/>
              <w:wordWrap/>
              <w:overflowPunct w:val="0"/>
              <w:topLinePunct/>
              <w:autoSpaceDE/>
              <w:autoSpaceDN/>
              <w:bidi w:val="0"/>
              <w:jc w:val="center"/>
              <w:rPr>
                <w:rFonts w:hint="default"/>
                <w:color w:val="auto"/>
                <w:sz w:val="21"/>
                <w:szCs w:val="21"/>
                <w:lang w:val="en-US" w:eastAsia="zh-CN" w:bidi="ar"/>
              </w:rPr>
            </w:pPr>
            <w:r>
              <w:rPr>
                <w:rFonts w:hint="default" w:ascii="Times New Roman" w:hAnsi="Times New Roman" w:eastAsia="宋体" w:cs="Times New Roman"/>
                <w:color w:val="auto"/>
                <w:kern w:val="2"/>
                <w:sz w:val="21"/>
                <w:szCs w:val="21"/>
                <w:lang w:val="en-US" w:eastAsia="zh-CN" w:bidi="ar"/>
              </w:rPr>
              <w:t>2、</w:t>
            </w:r>
            <w:r>
              <w:rPr>
                <w:rFonts w:hint="eastAsia"/>
                <w:color w:val="auto"/>
                <w:sz w:val="21"/>
                <w:szCs w:val="21"/>
                <w:lang w:val="en-US" w:eastAsia="zh-CN" w:bidi="ar"/>
              </w:rPr>
              <w:t>本项目能源为电能；</w:t>
            </w:r>
          </w:p>
          <w:p>
            <w:pPr>
              <w:keepNext w:val="0"/>
              <w:keepLines w:val="0"/>
              <w:pageBreakBefore w:val="0"/>
              <w:numPr>
                <w:ilvl w:val="0"/>
                <w:numId w:val="0"/>
              </w:numPr>
              <w:kinsoku/>
              <w:wordWrap/>
              <w:overflowPunct w:val="0"/>
              <w:topLinePunct/>
              <w:autoSpaceDE/>
              <w:autoSpaceDN/>
              <w:bidi w:val="0"/>
              <w:jc w:val="center"/>
              <w:rPr>
                <w:rFonts w:hint="default"/>
                <w:color w:val="auto"/>
                <w:sz w:val="21"/>
                <w:szCs w:val="21"/>
                <w:lang w:val="en-US" w:eastAsia="zh-CN" w:bidi="ar"/>
              </w:rPr>
            </w:pPr>
            <w:r>
              <w:rPr>
                <w:rFonts w:hint="default" w:ascii="Times New Roman" w:hAnsi="Times New Roman" w:eastAsia="宋体" w:cs="Times New Roman"/>
                <w:color w:val="auto"/>
                <w:kern w:val="2"/>
                <w:sz w:val="21"/>
                <w:szCs w:val="21"/>
                <w:lang w:val="en-US" w:eastAsia="zh-CN" w:bidi="ar"/>
              </w:rPr>
              <w:t>3、</w:t>
            </w:r>
            <w:r>
              <w:rPr>
                <w:rFonts w:hint="eastAsia"/>
                <w:color w:val="auto"/>
                <w:sz w:val="21"/>
                <w:szCs w:val="21"/>
                <w:lang w:val="en-US" w:eastAsia="zh-CN" w:bidi="ar"/>
              </w:rPr>
              <w:t>本项目用水为生活用水；</w:t>
            </w:r>
          </w:p>
          <w:p>
            <w:pPr>
              <w:keepNext w:val="0"/>
              <w:keepLines w:val="0"/>
              <w:pageBreakBefore w:val="0"/>
              <w:numPr>
                <w:ilvl w:val="0"/>
                <w:numId w:val="0"/>
              </w:numPr>
              <w:kinsoku/>
              <w:wordWrap/>
              <w:overflowPunct w:val="0"/>
              <w:topLinePunct/>
              <w:autoSpaceDE/>
              <w:autoSpaceDN/>
              <w:bidi w:val="0"/>
              <w:jc w:val="center"/>
              <w:rPr>
                <w:rFonts w:hint="default"/>
                <w:color w:val="auto"/>
                <w:sz w:val="21"/>
                <w:szCs w:val="21"/>
                <w:lang w:val="en-US" w:eastAsia="zh-CN" w:bidi="ar"/>
              </w:rPr>
            </w:pPr>
            <w:r>
              <w:rPr>
                <w:rFonts w:hint="default" w:ascii="Times New Roman" w:hAnsi="Times New Roman" w:eastAsia="宋体" w:cs="Times New Roman"/>
                <w:color w:val="auto"/>
                <w:kern w:val="2"/>
                <w:sz w:val="21"/>
                <w:szCs w:val="21"/>
                <w:lang w:val="en-US" w:eastAsia="zh-CN" w:bidi="ar"/>
              </w:rPr>
              <w:t>4、</w:t>
            </w:r>
            <w:r>
              <w:rPr>
                <w:rFonts w:hint="eastAsia"/>
                <w:color w:val="auto"/>
                <w:sz w:val="21"/>
                <w:szCs w:val="21"/>
                <w:lang w:val="en-US" w:eastAsia="zh-CN" w:bidi="ar"/>
              </w:rPr>
              <w:t>本项目不开采地下水；</w:t>
            </w:r>
          </w:p>
          <w:p>
            <w:pPr>
              <w:keepNext w:val="0"/>
              <w:keepLines w:val="0"/>
              <w:pageBreakBefore w:val="0"/>
              <w:numPr>
                <w:ilvl w:val="0"/>
                <w:numId w:val="0"/>
              </w:numPr>
              <w:kinsoku/>
              <w:wordWrap/>
              <w:overflowPunct w:val="0"/>
              <w:topLinePunct/>
              <w:autoSpaceDE/>
              <w:autoSpaceDN/>
              <w:bidi w:val="0"/>
              <w:jc w:val="center"/>
              <w:rPr>
                <w:rFonts w:hint="default"/>
                <w:color w:val="auto"/>
                <w:sz w:val="21"/>
                <w:szCs w:val="21"/>
                <w:lang w:val="en-US" w:eastAsia="zh-CN" w:bidi="ar"/>
              </w:rPr>
            </w:pPr>
            <w:r>
              <w:rPr>
                <w:rFonts w:hint="default" w:ascii="Times New Roman" w:hAnsi="Times New Roman" w:eastAsia="宋体" w:cs="Times New Roman"/>
                <w:color w:val="auto"/>
                <w:kern w:val="2"/>
                <w:sz w:val="21"/>
                <w:szCs w:val="21"/>
                <w:lang w:val="en-US" w:eastAsia="zh-CN" w:bidi="ar"/>
              </w:rPr>
              <w:t>5</w:t>
            </w:r>
            <w:r>
              <w:rPr>
                <w:rFonts w:hint="eastAsia" w:cs="Times New Roman"/>
                <w:color w:val="auto"/>
                <w:kern w:val="2"/>
                <w:sz w:val="21"/>
                <w:szCs w:val="21"/>
                <w:lang w:val="en-US" w:eastAsia="zh-CN" w:bidi="ar"/>
              </w:rPr>
              <w:t>~11</w:t>
            </w:r>
            <w:r>
              <w:rPr>
                <w:rFonts w:hint="default" w:ascii="Times New Roman" w:hAnsi="Times New Roman" w:eastAsia="宋体" w:cs="Times New Roman"/>
                <w:color w:val="auto"/>
                <w:kern w:val="2"/>
                <w:sz w:val="21"/>
                <w:szCs w:val="21"/>
                <w:lang w:val="en-US" w:eastAsia="zh-CN" w:bidi="ar"/>
              </w:rPr>
              <w:t>、</w:t>
            </w:r>
            <w:r>
              <w:rPr>
                <w:rFonts w:hint="eastAsia"/>
                <w:color w:val="auto"/>
                <w:sz w:val="21"/>
                <w:szCs w:val="21"/>
                <w:lang w:val="en-US" w:eastAsia="zh-CN" w:bidi="ar"/>
              </w:rPr>
              <w:t>本项目不涉及。</w:t>
            </w:r>
          </w:p>
          <w:p>
            <w:pPr>
              <w:keepNext w:val="0"/>
              <w:keepLines w:val="0"/>
              <w:pageBreakBefore w:val="0"/>
              <w:numPr>
                <w:ilvl w:val="0"/>
                <w:numId w:val="0"/>
              </w:numPr>
              <w:kinsoku/>
              <w:wordWrap/>
              <w:overflowPunct w:val="0"/>
              <w:topLinePunct/>
              <w:autoSpaceDE/>
              <w:autoSpaceDN/>
              <w:bidi w:val="0"/>
              <w:jc w:val="center"/>
              <w:rPr>
                <w:rFonts w:hint="default"/>
                <w:color w:val="auto"/>
                <w:sz w:val="21"/>
                <w:szCs w:val="21"/>
                <w:lang w:val="en-US" w:eastAsia="zh-CN" w:bidi="ar"/>
              </w:rPr>
            </w:pPr>
          </w:p>
        </w:tc>
      </w:tr>
    </w:tbl>
    <w:p>
      <w:pPr>
        <w:pStyle w:val="66"/>
        <w:spacing w:line="240" w:lineRule="auto"/>
        <w:rPr>
          <w:color w:val="auto"/>
          <w:szCs w:val="21"/>
        </w:rPr>
      </w:pPr>
    </w:p>
    <w:p>
      <w:pPr>
        <w:rPr>
          <w:color w:val="auto"/>
        </w:rPr>
        <w:sectPr>
          <w:pgSz w:w="16838" w:h="11906" w:orient="landscape"/>
          <w:pgMar w:top="1531" w:right="1701" w:bottom="1531" w:left="1701" w:header="907" w:footer="907" w:gutter="0"/>
          <w:pgBorders>
            <w:top w:val="none" w:sz="0" w:space="0"/>
            <w:left w:val="none" w:sz="0" w:space="0"/>
            <w:bottom w:val="none" w:sz="0" w:space="0"/>
            <w:right w:val="none" w:sz="0" w:space="0"/>
          </w:pgBorders>
          <w:cols w:space="720" w:num="1"/>
          <w:docGrid w:linePitch="312" w:charSpace="0"/>
        </w:sectPr>
      </w:pPr>
    </w:p>
    <w:p>
      <w:pPr>
        <w:rPr>
          <w:color w:val="auto"/>
        </w:rPr>
      </w:pPr>
    </w:p>
    <w:tbl>
      <w:tblPr>
        <w:tblStyle w:val="2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1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5" w:type="dxa"/>
            <w:vAlign w:val="center"/>
          </w:tcPr>
          <w:p>
            <w:pPr>
              <w:autoSpaceDE w:val="0"/>
              <w:autoSpaceDN w:val="0"/>
              <w:adjustRightInd w:val="0"/>
              <w:snapToGrid w:val="0"/>
              <w:jc w:val="center"/>
              <w:rPr>
                <w:color w:val="auto"/>
                <w:kern w:val="0"/>
                <w:sz w:val="24"/>
              </w:rPr>
            </w:pPr>
          </w:p>
        </w:tc>
        <w:tc>
          <w:tcPr>
            <w:tcW w:w="8195" w:type="dxa"/>
            <w:vAlign w:val="center"/>
          </w:tcPr>
          <w:p>
            <w:pPr>
              <w:numPr>
                <w:ilvl w:val="0"/>
                <w:numId w:val="1"/>
              </w:numPr>
              <w:spacing w:line="360" w:lineRule="auto"/>
              <w:ind w:left="420"/>
              <w:rPr>
                <w:b/>
                <w:color w:val="auto"/>
                <w:sz w:val="24"/>
              </w:rPr>
            </w:pPr>
            <w:r>
              <w:rPr>
                <w:b/>
                <w:color w:val="auto"/>
                <w:sz w:val="24"/>
              </w:rPr>
              <w:t>本项目与相关政策、条例等符合性分析</w:t>
            </w:r>
          </w:p>
          <w:p>
            <w:pPr>
              <w:spacing w:line="360" w:lineRule="auto"/>
              <w:ind w:firstLine="480" w:firstLineChars="200"/>
              <w:rPr>
                <w:color w:val="auto"/>
                <w:sz w:val="24"/>
              </w:rPr>
            </w:pPr>
            <w:r>
              <w:rPr>
                <w:color w:val="auto"/>
                <w:sz w:val="24"/>
              </w:rPr>
              <w:t>本项目与相关环境管理政策相符性分析见下表。</w:t>
            </w:r>
          </w:p>
          <w:p>
            <w:pPr>
              <w:keepNext/>
              <w:keepLines/>
              <w:pageBreakBefore w:val="0"/>
              <w:widowControl w:val="0"/>
              <w:kinsoku/>
              <w:wordWrap/>
              <w:overflowPunct/>
              <w:topLinePunct w:val="0"/>
              <w:autoSpaceDE/>
              <w:autoSpaceDN/>
              <w:bidi w:val="0"/>
              <w:adjustRightInd/>
              <w:snapToGrid/>
              <w:spacing w:line="240" w:lineRule="auto"/>
              <w:ind w:firstLine="0"/>
              <w:jc w:val="center"/>
              <w:textAlignment w:val="auto"/>
              <w:rPr>
                <w:b/>
                <w:bCs/>
                <w:color w:val="auto"/>
                <w:szCs w:val="21"/>
              </w:rPr>
            </w:pPr>
            <w:r>
              <w:rPr>
                <w:b/>
                <w:bCs/>
                <w:color w:val="auto"/>
                <w:szCs w:val="21"/>
              </w:rPr>
              <w:t>表1-</w:t>
            </w:r>
            <w:r>
              <w:rPr>
                <w:rFonts w:hint="eastAsia"/>
                <w:b/>
                <w:bCs/>
                <w:color w:val="auto"/>
                <w:szCs w:val="21"/>
              </w:rPr>
              <w:t>4</w:t>
            </w:r>
            <w:r>
              <w:rPr>
                <w:b/>
                <w:bCs/>
                <w:color w:val="auto"/>
                <w:szCs w:val="21"/>
              </w:rPr>
              <w:t xml:space="preserve">  本项目与相关政策、条例等符合性分析</w:t>
            </w:r>
          </w:p>
          <w:tbl>
            <w:tblPr>
              <w:tblStyle w:val="29"/>
              <w:tblW w:w="797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347"/>
              <w:gridCol w:w="1861"/>
              <w:gridCol w:w="5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tcBorders>
                    <w:tl2br w:val="nil"/>
                    <w:tr2bl w:val="nil"/>
                  </w:tcBorders>
                  <w:tcMar>
                    <w:left w:w="28" w:type="dxa"/>
                    <w:right w:w="28" w:type="dxa"/>
                  </w:tcMar>
                  <w:vAlign w:val="center"/>
                </w:tcPr>
                <w:p>
                  <w:pPr>
                    <w:widowControl/>
                    <w:jc w:val="center"/>
                    <w:rPr>
                      <w:b w:val="0"/>
                      <w:bCs w:val="0"/>
                      <w:color w:val="auto"/>
                      <w:sz w:val="21"/>
                      <w:szCs w:val="21"/>
                    </w:rPr>
                  </w:pPr>
                  <w:r>
                    <w:rPr>
                      <w:b w:val="0"/>
                      <w:bCs w:val="0"/>
                      <w:color w:val="auto"/>
                      <w:sz w:val="21"/>
                      <w:szCs w:val="21"/>
                    </w:rPr>
                    <w:t>文件</w:t>
                  </w:r>
                </w:p>
              </w:tc>
              <w:tc>
                <w:tcPr>
                  <w:tcW w:w="4347" w:type="dxa"/>
                  <w:tcBorders>
                    <w:tl2br w:val="nil"/>
                    <w:tr2bl w:val="nil"/>
                  </w:tcBorders>
                  <w:tcMar>
                    <w:left w:w="28" w:type="dxa"/>
                    <w:right w:w="28" w:type="dxa"/>
                  </w:tcMar>
                  <w:vAlign w:val="center"/>
                </w:tcPr>
                <w:p>
                  <w:pPr>
                    <w:widowControl/>
                    <w:jc w:val="center"/>
                    <w:rPr>
                      <w:b w:val="0"/>
                      <w:bCs w:val="0"/>
                      <w:color w:val="auto"/>
                      <w:sz w:val="21"/>
                      <w:szCs w:val="21"/>
                    </w:rPr>
                  </w:pPr>
                  <w:r>
                    <w:rPr>
                      <w:b w:val="0"/>
                      <w:bCs w:val="0"/>
                      <w:color w:val="auto"/>
                      <w:sz w:val="21"/>
                      <w:szCs w:val="21"/>
                    </w:rPr>
                    <w:t>政策要求</w:t>
                  </w:r>
                </w:p>
              </w:tc>
              <w:tc>
                <w:tcPr>
                  <w:tcW w:w="1861" w:type="dxa"/>
                  <w:tcBorders>
                    <w:tl2br w:val="nil"/>
                    <w:tr2bl w:val="nil"/>
                  </w:tcBorders>
                  <w:tcMar>
                    <w:left w:w="28" w:type="dxa"/>
                    <w:right w:w="28" w:type="dxa"/>
                  </w:tcMar>
                  <w:vAlign w:val="center"/>
                </w:tcPr>
                <w:p>
                  <w:pPr>
                    <w:widowControl/>
                    <w:jc w:val="center"/>
                    <w:rPr>
                      <w:b w:val="0"/>
                      <w:bCs w:val="0"/>
                      <w:color w:val="auto"/>
                      <w:sz w:val="21"/>
                      <w:szCs w:val="21"/>
                    </w:rPr>
                  </w:pPr>
                  <w:r>
                    <w:rPr>
                      <w:b w:val="0"/>
                      <w:bCs w:val="0"/>
                      <w:color w:val="auto"/>
                      <w:sz w:val="21"/>
                      <w:szCs w:val="21"/>
                    </w:rPr>
                    <w:t>本项目情况</w:t>
                  </w:r>
                </w:p>
              </w:tc>
              <w:tc>
                <w:tcPr>
                  <w:tcW w:w="598" w:type="dxa"/>
                  <w:tcBorders>
                    <w:tl2br w:val="nil"/>
                    <w:tr2bl w:val="nil"/>
                  </w:tcBorders>
                  <w:tcMar>
                    <w:left w:w="28" w:type="dxa"/>
                    <w:right w:w="28" w:type="dxa"/>
                  </w:tcMar>
                  <w:vAlign w:val="center"/>
                </w:tcPr>
                <w:p>
                  <w:pPr>
                    <w:widowControl/>
                    <w:jc w:val="center"/>
                    <w:rPr>
                      <w:b w:val="0"/>
                      <w:bCs w:val="0"/>
                      <w:color w:val="auto"/>
                      <w:sz w:val="21"/>
                      <w:szCs w:val="21"/>
                    </w:rPr>
                  </w:pPr>
                  <w:r>
                    <w:rPr>
                      <w:b w:val="0"/>
                      <w:bCs w:val="0"/>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restart"/>
                  <w:tcBorders>
                    <w:tl2br w:val="nil"/>
                    <w:tr2bl w:val="nil"/>
                  </w:tcBorders>
                  <w:tcMar>
                    <w:left w:w="28" w:type="dxa"/>
                    <w:right w:w="28" w:type="dxa"/>
                  </w:tcMar>
                  <w:vAlign w:val="center"/>
                </w:tcPr>
                <w:p>
                  <w:pPr>
                    <w:bidi w:val="0"/>
                    <w:jc w:val="center"/>
                    <w:rPr>
                      <w:color w:val="auto"/>
                      <w:sz w:val="21"/>
                      <w:szCs w:val="21"/>
                    </w:rPr>
                  </w:pPr>
                </w:p>
                <w:p>
                  <w:pPr>
                    <w:bidi w:val="0"/>
                    <w:jc w:val="center"/>
                    <w:rPr>
                      <w:color w:val="auto"/>
                      <w:sz w:val="21"/>
                      <w:szCs w:val="21"/>
                    </w:rPr>
                  </w:pPr>
                </w:p>
                <w:p>
                  <w:pPr>
                    <w:bidi w:val="0"/>
                    <w:jc w:val="center"/>
                    <w:rPr>
                      <w:color w:val="auto"/>
                      <w:sz w:val="21"/>
                      <w:szCs w:val="21"/>
                    </w:rPr>
                  </w:pPr>
                </w:p>
                <w:p>
                  <w:pPr>
                    <w:bidi w:val="0"/>
                    <w:jc w:val="center"/>
                    <w:rPr>
                      <w:color w:val="auto"/>
                      <w:sz w:val="21"/>
                      <w:szCs w:val="21"/>
                    </w:rPr>
                  </w:pPr>
                </w:p>
                <w:p>
                  <w:pPr>
                    <w:bidi w:val="0"/>
                    <w:jc w:val="center"/>
                    <w:rPr>
                      <w:color w:val="auto"/>
                      <w:sz w:val="21"/>
                      <w:szCs w:val="21"/>
                    </w:rPr>
                  </w:pPr>
                  <w:r>
                    <w:rPr>
                      <w:color w:val="auto"/>
                      <w:sz w:val="21"/>
                      <w:szCs w:val="21"/>
                    </w:rPr>
                    <w:t>《挥发性有机物（VOCs）污染防治技术政策》</w:t>
                  </w:r>
                </w:p>
                <w:p>
                  <w:pPr>
                    <w:bidi w:val="0"/>
                    <w:jc w:val="center"/>
                    <w:rPr>
                      <w:rFonts w:hint="default"/>
                      <w:color w:val="auto"/>
                      <w:sz w:val="21"/>
                      <w:szCs w:val="21"/>
                      <w:lang w:val="en-US" w:eastAsia="zh-CN"/>
                    </w:rPr>
                  </w:pPr>
                  <w:r>
                    <w:rPr>
                      <w:color w:val="auto"/>
                      <w:sz w:val="21"/>
                      <w:szCs w:val="21"/>
                    </w:rPr>
                    <w:t>（公告2013年第31号）</w:t>
                  </w: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含VOCs产品的使用过程中，应采取废气收集措施，提高废气收集效率，减少废气的无组织排放与逸散，并对收集后的废气进行回收或处理后达标排放。</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本项目</w:t>
                  </w:r>
                  <w:r>
                    <w:rPr>
                      <w:rFonts w:hint="eastAsia"/>
                      <w:color w:val="auto"/>
                      <w:sz w:val="21"/>
                      <w:szCs w:val="21"/>
                      <w:lang w:val="en-US" w:eastAsia="zh-CN"/>
                    </w:rPr>
                    <w:t>产生的废气经收集通过3M过滤棉+二级活性炭处理后</w:t>
                  </w:r>
                  <w:r>
                    <w:rPr>
                      <w:color w:val="auto"/>
                      <w:sz w:val="21"/>
                      <w:szCs w:val="21"/>
                    </w:rPr>
                    <w:t>由排气筒达标排放</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rFonts w:hint="default"/>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1861" w:type="dxa"/>
                  <w:tcBorders>
                    <w:tl2br w:val="nil"/>
                    <w:tr2bl w:val="nil"/>
                  </w:tcBorders>
                  <w:tcMar>
                    <w:left w:w="28" w:type="dxa"/>
                    <w:right w:w="28" w:type="dxa"/>
                  </w:tcMar>
                  <w:vAlign w:val="center"/>
                </w:tcPr>
                <w:p>
                  <w:pPr>
                    <w:bidi w:val="0"/>
                    <w:jc w:val="center"/>
                    <w:rPr>
                      <w:rFonts w:hint="eastAsia" w:eastAsia="宋体"/>
                      <w:color w:val="auto"/>
                      <w:sz w:val="21"/>
                      <w:szCs w:val="21"/>
                      <w:lang w:val="en-US" w:eastAsia="zh-CN"/>
                    </w:rPr>
                  </w:pPr>
                  <w:r>
                    <w:rPr>
                      <w:color w:val="auto"/>
                      <w:sz w:val="21"/>
                      <w:szCs w:val="21"/>
                    </w:rPr>
                    <w:t>本项目</w:t>
                  </w:r>
                  <w:r>
                    <w:rPr>
                      <w:rFonts w:hint="eastAsia"/>
                      <w:color w:val="auto"/>
                      <w:sz w:val="21"/>
                      <w:szCs w:val="21"/>
                      <w:lang w:val="en-US" w:eastAsia="zh-CN"/>
                    </w:rPr>
                    <w:t>产生的废气经收集并通过3M过滤棉+二级活性炭处理后</w:t>
                  </w:r>
                  <w:r>
                    <w:rPr>
                      <w:color w:val="auto"/>
                      <w:sz w:val="21"/>
                      <w:szCs w:val="21"/>
                    </w:rPr>
                    <w:t>由排气筒达标排放</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rFonts w:hint="default"/>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对于不能再生的过滤材料、吸附剂及催化剂等净化材料，应按照国家固体废物管理的相关规定处理处置。</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本项目有机废气处理设备中产生的废活性炭交由有资质单位进行处理</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rFonts w:hint="default"/>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企业应建立健全VOCs治理设施的运行维护规程</w:t>
                  </w:r>
                  <w:r>
                    <w:rPr>
                      <w:rFonts w:hint="eastAsia"/>
                      <w:color w:val="auto"/>
                      <w:sz w:val="21"/>
                      <w:szCs w:val="21"/>
                      <w:lang w:eastAsia="zh-CN"/>
                    </w:rPr>
                    <w:t>和台账</w:t>
                  </w:r>
                  <w:r>
                    <w:rPr>
                      <w:color w:val="auto"/>
                      <w:sz w:val="21"/>
                      <w:szCs w:val="21"/>
                    </w:rPr>
                    <w:t>等日常管理制度，并根据工艺要求定期对各类设备、电气、自控仪表等进行检修维护，确保设施的稳定运行。</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评价要求企业建立健全</w:t>
                  </w:r>
                  <w:r>
                    <w:rPr>
                      <w:rFonts w:hint="eastAsia"/>
                      <w:color w:val="auto"/>
                      <w:sz w:val="21"/>
                      <w:szCs w:val="21"/>
                      <w:lang w:val="en-US" w:eastAsia="zh-CN"/>
                    </w:rPr>
                    <w:t>非甲烷总烃</w:t>
                  </w:r>
                  <w:r>
                    <w:rPr>
                      <w:color w:val="auto"/>
                      <w:sz w:val="21"/>
                      <w:szCs w:val="21"/>
                    </w:rPr>
                    <w:t>治理设施的运行维护规程</w:t>
                  </w:r>
                  <w:r>
                    <w:rPr>
                      <w:rFonts w:hint="eastAsia"/>
                      <w:color w:val="auto"/>
                      <w:sz w:val="21"/>
                      <w:szCs w:val="21"/>
                      <w:lang w:eastAsia="zh-CN"/>
                    </w:rPr>
                    <w:t>和台账</w:t>
                  </w:r>
                  <w:r>
                    <w:rPr>
                      <w:color w:val="auto"/>
                      <w:sz w:val="21"/>
                      <w:szCs w:val="21"/>
                    </w:rPr>
                    <w:t>，并加强对各类设备的检修维护。</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1170"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rFonts w:hint="default"/>
                      <w:color w:val="auto"/>
                      <w:sz w:val="21"/>
                      <w:szCs w:val="21"/>
                    </w:rPr>
                    <w:t>《挥发性有机物无组织排放控制标准》（GB37822-2019）</w:t>
                  </w:r>
                </w:p>
              </w:tc>
              <w:tc>
                <w:tcPr>
                  <w:tcW w:w="4347" w:type="dxa"/>
                  <w:tcBorders>
                    <w:tl2br w:val="nil"/>
                    <w:tr2bl w:val="nil"/>
                  </w:tcBorders>
                  <w:tcMar>
                    <w:left w:w="28" w:type="dxa"/>
                    <w:right w:w="28" w:type="dxa"/>
                  </w:tcMar>
                  <w:vAlign w:val="center"/>
                </w:tcPr>
                <w:p>
                  <w:pPr>
                    <w:bidi w:val="0"/>
                    <w:jc w:val="center"/>
                    <w:rPr>
                      <w:rFonts w:hint="default"/>
                      <w:color w:val="auto"/>
                      <w:sz w:val="21"/>
                      <w:szCs w:val="21"/>
                    </w:rPr>
                  </w:pPr>
                  <w:r>
                    <w:rPr>
                      <w:rFonts w:hint="default"/>
                      <w:color w:val="auto"/>
                      <w:sz w:val="21"/>
                      <w:szCs w:val="21"/>
                    </w:rPr>
                    <w:t>VOCs废气收集处理系统应与生产工艺设备同步运行。VOCs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861" w:type="dxa"/>
                  <w:tcBorders>
                    <w:tl2br w:val="nil"/>
                    <w:tr2bl w:val="nil"/>
                  </w:tcBorders>
                  <w:tcMar>
                    <w:left w:w="28" w:type="dxa"/>
                    <w:right w:w="28" w:type="dxa"/>
                  </w:tcMar>
                  <w:vAlign w:val="center"/>
                </w:tcPr>
                <w:p>
                  <w:pPr>
                    <w:bidi w:val="0"/>
                    <w:jc w:val="center"/>
                    <w:rPr>
                      <w:rFonts w:hint="default"/>
                      <w:color w:val="auto"/>
                      <w:sz w:val="21"/>
                      <w:szCs w:val="21"/>
                    </w:rPr>
                  </w:pPr>
                  <w:r>
                    <w:rPr>
                      <w:rFonts w:hint="default"/>
                      <w:color w:val="auto"/>
                      <w:sz w:val="21"/>
                      <w:szCs w:val="21"/>
                    </w:rPr>
                    <w:t>项目按要求将VOCs废气收集处理系统应与生产工艺设备同步运行。VOCs废气收集处理系统发生故障或检修时，对应的生产工艺设备应停止运行，待检修完毕后同步投入使用。</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tcBorders>
                    <w:tl2br w:val="nil"/>
                    <w:tr2bl w:val="nil"/>
                  </w:tcBorders>
                  <w:tcMar>
                    <w:left w:w="28" w:type="dxa"/>
                    <w:right w:w="28" w:type="dxa"/>
                  </w:tcMar>
                  <w:vAlign w:val="center"/>
                </w:tcPr>
                <w:p>
                  <w:pPr>
                    <w:bidi w:val="0"/>
                    <w:jc w:val="center"/>
                    <w:rPr>
                      <w:rFonts w:hint="default"/>
                      <w:color w:val="auto"/>
                      <w:sz w:val="21"/>
                      <w:szCs w:val="21"/>
                    </w:rPr>
                  </w:pPr>
                  <w:r>
                    <w:rPr>
                      <w:color w:val="auto"/>
                      <w:sz w:val="21"/>
                      <w:szCs w:val="21"/>
                    </w:rPr>
                    <w:t>《陕西省大气污染防治条例（2019年修正）》</w:t>
                  </w: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石化、有机化工、电子、装备制造、表面涂装、包装印刷、服装干洗等产生含挥发性有机物废气的生产经营单位，应当使用低挥发性有机物含</w:t>
                  </w:r>
                  <w:r>
                    <w:rPr>
                      <w:rFonts w:hint="eastAsia"/>
                      <w:color w:val="auto"/>
                      <w:sz w:val="21"/>
                      <w:szCs w:val="21"/>
                      <w:lang w:eastAsia="zh-CN"/>
                    </w:rPr>
                    <w:t>量的</w:t>
                  </w:r>
                  <w:r>
                    <w:rPr>
                      <w:color w:val="auto"/>
                      <w:sz w:val="21"/>
                      <w:szCs w:val="21"/>
                    </w:rPr>
                    <w:t>涂料或溶剂，在密闭环境中进行作业，安装使用污染治理设备和废气收集系统，保证其正常使用，记录原辅材料的挥发性有机物含量、使用量、废弃量，生产设施以及污染控制设备的主要操作参数、运</w:t>
                  </w:r>
                  <w:r>
                    <w:rPr>
                      <w:rFonts w:hint="eastAsia"/>
                      <w:color w:val="auto"/>
                      <w:sz w:val="21"/>
                      <w:szCs w:val="21"/>
                      <w:lang w:eastAsia="zh-CN"/>
                    </w:rPr>
                    <w:t>行情</w:t>
                  </w:r>
                  <w:r>
                    <w:rPr>
                      <w:color w:val="auto"/>
                      <w:sz w:val="21"/>
                      <w:szCs w:val="21"/>
                    </w:rPr>
                    <w:t>况和保养维护等事项。</w:t>
                  </w:r>
                </w:p>
              </w:tc>
              <w:tc>
                <w:tcPr>
                  <w:tcW w:w="1861" w:type="dxa"/>
                  <w:tcBorders>
                    <w:tl2br w:val="nil"/>
                    <w:tr2bl w:val="nil"/>
                  </w:tcBorders>
                  <w:tcMar>
                    <w:left w:w="28" w:type="dxa"/>
                    <w:right w:w="28" w:type="dxa"/>
                  </w:tcMar>
                  <w:vAlign w:val="center"/>
                </w:tcPr>
                <w:p>
                  <w:pPr>
                    <w:bidi w:val="0"/>
                    <w:jc w:val="center"/>
                    <w:rPr>
                      <w:rFonts w:hint="eastAsia" w:eastAsia="宋体"/>
                      <w:color w:val="auto"/>
                      <w:sz w:val="21"/>
                      <w:szCs w:val="21"/>
                      <w:lang w:val="en-US" w:eastAsia="zh-CN"/>
                    </w:rPr>
                  </w:pPr>
                  <w:r>
                    <w:rPr>
                      <w:color w:val="auto"/>
                      <w:sz w:val="21"/>
                      <w:szCs w:val="21"/>
                    </w:rPr>
                    <w:t>本项目为</w:t>
                  </w:r>
                  <w:r>
                    <w:rPr>
                      <w:rFonts w:hint="eastAsia"/>
                      <w:color w:val="auto"/>
                      <w:sz w:val="21"/>
                      <w:szCs w:val="21"/>
                      <w:lang w:val="en-US" w:eastAsia="zh-CN"/>
                    </w:rPr>
                    <w:t>特种玻璃制造</w:t>
                  </w:r>
                  <w:r>
                    <w:rPr>
                      <w:color w:val="auto"/>
                      <w:sz w:val="21"/>
                      <w:szCs w:val="21"/>
                    </w:rPr>
                    <w:t>，不属于条例中重点行业，生产过程中</w:t>
                  </w:r>
                  <w:r>
                    <w:rPr>
                      <w:rFonts w:hint="eastAsia"/>
                      <w:color w:val="auto"/>
                      <w:sz w:val="21"/>
                      <w:szCs w:val="21"/>
                      <w:lang w:val="en-US" w:eastAsia="zh-CN"/>
                    </w:rPr>
                    <w:t>产生的废气经收集并通过3M过滤棉+二级活性炭处理后</w:t>
                  </w:r>
                  <w:r>
                    <w:rPr>
                      <w:color w:val="auto"/>
                      <w:sz w:val="21"/>
                      <w:szCs w:val="21"/>
                    </w:rPr>
                    <w:t>由排气筒达标排放</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default"/>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restart"/>
                  <w:tcBorders>
                    <w:tl2br w:val="nil"/>
                    <w:tr2bl w:val="nil"/>
                  </w:tcBorders>
                  <w:tcMar>
                    <w:left w:w="28" w:type="dxa"/>
                    <w:right w:w="28" w:type="dxa"/>
                  </w:tcMar>
                  <w:vAlign w:val="center"/>
                </w:tcPr>
                <w:p>
                  <w:pPr>
                    <w:bidi w:val="0"/>
                    <w:jc w:val="center"/>
                    <w:rPr>
                      <w:color w:val="auto"/>
                      <w:sz w:val="21"/>
                      <w:szCs w:val="21"/>
                    </w:rPr>
                  </w:pPr>
                  <w:r>
                    <w:rPr>
                      <w:color w:val="auto"/>
                      <w:sz w:val="21"/>
                      <w:szCs w:val="21"/>
                    </w:rPr>
                    <w:t>关于印发《西安市挥发性有机物污染整治专项实施方案》</w:t>
                  </w:r>
                </w:p>
                <w:p>
                  <w:pPr>
                    <w:bidi w:val="0"/>
                    <w:jc w:val="center"/>
                    <w:rPr>
                      <w:rFonts w:hint="default"/>
                      <w:color w:val="auto"/>
                      <w:sz w:val="21"/>
                      <w:szCs w:val="21"/>
                      <w:lang w:val="en-US" w:eastAsia="zh-CN"/>
                    </w:rPr>
                  </w:pPr>
                  <w:r>
                    <w:rPr>
                      <w:color w:val="auto"/>
                      <w:sz w:val="21"/>
                      <w:szCs w:val="21"/>
                    </w:rPr>
                    <w:t>的通知</w:t>
                  </w: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低效治理设施升级改造行动。组织开展企业VOCs治理设施排查，对涉及使用低温等离子、光氧化、光催化技术的废气治理设施，非水溶性VOCs废气采用单一喷淋吸收等治理技术，以及有机化工生产企业使用简易低效污染治理设施的，逐一进行排查，2023年6月底前基本完成VOCs治理低效设施升级改造。</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本项目有机废气采用</w:t>
                  </w:r>
                  <w:r>
                    <w:rPr>
                      <w:rFonts w:hint="eastAsia"/>
                      <w:color w:val="auto"/>
                      <w:sz w:val="21"/>
                      <w:szCs w:val="21"/>
                      <w:lang w:val="en-US" w:eastAsia="zh-CN"/>
                    </w:rPr>
                    <w:t>二级</w:t>
                  </w:r>
                  <w:r>
                    <w:rPr>
                      <w:color w:val="auto"/>
                      <w:sz w:val="21"/>
                      <w:szCs w:val="21"/>
                    </w:rPr>
                    <w:t>活性炭吸附工艺，不属于低效处理工艺</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rFonts w:hint="default"/>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强化涉活性炭VOCs处理工艺治理。采用活性炭吸附技术的，其中颗粒碳碘吸附值不低于800mg/g或四氯化碳吸附率不低于60%，蜂窝活性炭碘吸附值不低于600mg/g或四氯化碳吸附率不低于30%，按设计要求足量添加、定期更换，动态更新挥发性有机物治理设施台账。</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环评要求：建设单位采用的</w:t>
                  </w:r>
                  <w:r>
                    <w:rPr>
                      <w:rFonts w:hint="eastAsia"/>
                      <w:color w:val="auto"/>
                      <w:sz w:val="21"/>
                      <w:szCs w:val="21"/>
                      <w:lang w:val="en-US" w:eastAsia="zh-CN"/>
                    </w:rPr>
                    <w:t>蜂窝</w:t>
                  </w:r>
                  <w:r>
                    <w:rPr>
                      <w:color w:val="auto"/>
                      <w:sz w:val="21"/>
                      <w:szCs w:val="21"/>
                    </w:rPr>
                    <w:t>活性炭碘吸附值</w:t>
                  </w:r>
                  <w:r>
                    <w:rPr>
                      <w:rFonts w:hint="eastAsia"/>
                      <w:color w:val="auto"/>
                      <w:sz w:val="21"/>
                      <w:szCs w:val="21"/>
                      <w:lang w:val="en-US" w:eastAsia="zh-CN"/>
                    </w:rPr>
                    <w:t>8</w:t>
                  </w:r>
                  <w:r>
                    <w:rPr>
                      <w:color w:val="auto"/>
                      <w:sz w:val="21"/>
                      <w:szCs w:val="21"/>
                    </w:rPr>
                    <w:t>00mg/g，并按设计要求足量添加、定期更换，动态更新挥发性有机物治理设施台账</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restart"/>
                  <w:tcBorders>
                    <w:tl2br w:val="nil"/>
                    <w:tr2bl w:val="nil"/>
                  </w:tcBorders>
                  <w:tcMar>
                    <w:left w:w="28" w:type="dxa"/>
                    <w:right w:w="28" w:type="dxa"/>
                  </w:tcMar>
                  <w:vAlign w:val="center"/>
                </w:tcPr>
                <w:p>
                  <w:pPr>
                    <w:bidi w:val="0"/>
                    <w:jc w:val="center"/>
                    <w:rPr>
                      <w:color w:val="auto"/>
                      <w:sz w:val="21"/>
                      <w:szCs w:val="21"/>
                    </w:rPr>
                  </w:pPr>
                  <w:r>
                    <w:rPr>
                      <w:color w:val="auto"/>
                      <w:sz w:val="21"/>
                      <w:szCs w:val="21"/>
                    </w:rPr>
                    <w:t>《西安市生态环境局关于加强挥发性有机物活性炭吸附</w:t>
                  </w:r>
                </w:p>
                <w:p>
                  <w:pPr>
                    <w:bidi w:val="0"/>
                    <w:jc w:val="center"/>
                    <w:rPr>
                      <w:color w:val="auto"/>
                      <w:sz w:val="21"/>
                      <w:szCs w:val="21"/>
                    </w:rPr>
                  </w:pPr>
                  <w:r>
                    <w:rPr>
                      <w:color w:val="auto"/>
                      <w:sz w:val="21"/>
                      <w:szCs w:val="21"/>
                    </w:rPr>
                    <w:t>处理设施运行管理</w:t>
                  </w:r>
                </w:p>
                <w:p>
                  <w:pPr>
                    <w:bidi w:val="0"/>
                    <w:jc w:val="center"/>
                    <w:rPr>
                      <w:color w:val="auto"/>
                      <w:sz w:val="21"/>
                      <w:szCs w:val="21"/>
                    </w:rPr>
                  </w:pPr>
                  <w:r>
                    <w:rPr>
                      <w:color w:val="auto"/>
                      <w:sz w:val="21"/>
                      <w:szCs w:val="21"/>
                    </w:rPr>
                    <w:t>工作的通知》（市环</w:t>
                  </w:r>
                </w:p>
                <w:p>
                  <w:pPr>
                    <w:bidi w:val="0"/>
                    <w:jc w:val="center"/>
                    <w:rPr>
                      <w:rFonts w:hint="default"/>
                      <w:color w:val="auto"/>
                      <w:sz w:val="21"/>
                      <w:szCs w:val="21"/>
                      <w:lang w:val="en-US" w:eastAsia="zh-CN"/>
                    </w:rPr>
                  </w:pPr>
                  <w:r>
                    <w:rPr>
                      <w:color w:val="auto"/>
                      <w:sz w:val="21"/>
                      <w:szCs w:val="21"/>
                    </w:rPr>
                    <w:t>发</w:t>
                  </w:r>
                  <w:r>
                    <w:rPr>
                      <w:rFonts w:hint="eastAsia"/>
                      <w:color w:val="auto"/>
                      <w:sz w:val="21"/>
                      <w:szCs w:val="21"/>
                      <w:lang w:eastAsia="zh-CN"/>
                    </w:rPr>
                    <w:t>〔</w:t>
                  </w:r>
                  <w:r>
                    <w:rPr>
                      <w:color w:val="auto"/>
                      <w:sz w:val="21"/>
                      <w:szCs w:val="21"/>
                    </w:rPr>
                    <w:t>2022</w:t>
                  </w:r>
                  <w:r>
                    <w:rPr>
                      <w:rFonts w:hint="eastAsia"/>
                      <w:color w:val="auto"/>
                      <w:sz w:val="21"/>
                      <w:szCs w:val="21"/>
                      <w:lang w:eastAsia="zh-CN"/>
                    </w:rPr>
                    <w:t>〕</w:t>
                  </w:r>
                  <w:r>
                    <w:rPr>
                      <w:color w:val="auto"/>
                      <w:sz w:val="21"/>
                      <w:szCs w:val="21"/>
                    </w:rPr>
                    <w:t>65号）</w:t>
                  </w: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规范治理技术。涉气企业根据当前有关VOCs治理的法律法规、技术规范、政策文件等要求，选择合理的治理工艺，除恶臭异味治理外，淘汰单一使用低温等离子、光催化氧化、活性炭吸附棉、水喷淋等低效处理工艺或其组合工艺。原料VOCs浓度高、排放总量较大的生产工艺原则上采用RTO、RCO等高效处理技术。</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本项目有机废气采用</w:t>
                  </w:r>
                  <w:r>
                    <w:rPr>
                      <w:rFonts w:hint="eastAsia"/>
                      <w:color w:val="auto"/>
                      <w:sz w:val="21"/>
                      <w:szCs w:val="21"/>
                      <w:lang w:val="en-US" w:eastAsia="zh-CN"/>
                    </w:rPr>
                    <w:t>二级</w:t>
                  </w:r>
                  <w:r>
                    <w:rPr>
                      <w:color w:val="auto"/>
                      <w:sz w:val="21"/>
                      <w:szCs w:val="21"/>
                    </w:rPr>
                    <w:t>活性炭吸附工艺，不属于低效处理工艺，项目</w:t>
                  </w:r>
                  <w:r>
                    <w:rPr>
                      <w:rFonts w:hint="eastAsia"/>
                      <w:color w:val="auto"/>
                      <w:sz w:val="21"/>
                      <w:szCs w:val="21"/>
                      <w:lang w:val="en-US" w:eastAsia="zh-CN"/>
                    </w:rPr>
                    <w:t>经处理后</w:t>
                  </w:r>
                  <w:r>
                    <w:rPr>
                      <w:color w:val="auto"/>
                      <w:sz w:val="21"/>
                      <w:szCs w:val="21"/>
                    </w:rPr>
                    <w:t>的</w:t>
                  </w:r>
                  <w:r>
                    <w:rPr>
                      <w:rFonts w:hint="eastAsia"/>
                      <w:color w:val="auto"/>
                      <w:sz w:val="21"/>
                      <w:szCs w:val="21"/>
                      <w:lang w:val="en-US" w:eastAsia="zh-CN"/>
                    </w:rPr>
                    <w:t>非甲烷总烃</w:t>
                  </w:r>
                  <w:r>
                    <w:rPr>
                      <w:color w:val="auto"/>
                      <w:sz w:val="21"/>
                      <w:szCs w:val="21"/>
                    </w:rPr>
                    <w:t>浓度低、排放总量较小</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color w:val="auto"/>
                      <w:sz w:val="21"/>
                      <w:szCs w:val="21"/>
                    </w:rPr>
                  </w:pP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保证活性炭质量：企业购置活性炭必须提供活性炭检测报告，技术指标至少应包括水分含量、耐磨强度（颗粒活性炭）、抗压强度（蜂窝活性炭）、碘吸附值、四氯化碳吸附率、着火点等。活性炭技术指标应符合《工业有机废气净化用活性炭技术指标及试验方法》（LY/T3284）规定的优级活性炭指标要求</w:t>
                  </w:r>
                </w:p>
              </w:tc>
              <w:tc>
                <w:tcPr>
                  <w:tcW w:w="1861"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环评要求企业购置符合《工业有机废气净化用活性炭技术指标及试验方法》（LY/T3284）规定的优级活性炭指标要求的活性炭</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color w:val="auto"/>
                      <w:sz w:val="21"/>
                      <w:szCs w:val="21"/>
                    </w:rPr>
                  </w:pP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明确填充量并及时更换：企业应当根据风量和初始浓度范围，明确活性炭的填充量、填充厚度和更换时间</w:t>
                  </w:r>
                </w:p>
              </w:tc>
              <w:tc>
                <w:tcPr>
                  <w:tcW w:w="1861"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报告中明确了活性炭填充量并要求建设单位按要求及时更换</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rFonts w:hint="default"/>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严格危废管理：产生废活性炭的企业，必须与有许可证的危废经营单位签订危废处置协议</w:t>
                  </w:r>
                </w:p>
              </w:tc>
              <w:tc>
                <w:tcPr>
                  <w:tcW w:w="1861"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建设单位与有资质单位签订危废处置协议，活性炭交有资质单位处置</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tcBorders>
                    <w:tl2br w:val="nil"/>
                    <w:tr2bl w:val="nil"/>
                  </w:tcBorders>
                  <w:tcMar>
                    <w:left w:w="28" w:type="dxa"/>
                    <w:right w:w="28" w:type="dxa"/>
                  </w:tcMar>
                  <w:vAlign w:val="center"/>
                </w:tcPr>
                <w:p>
                  <w:pPr>
                    <w:bidi w:val="0"/>
                    <w:rPr>
                      <w:rFonts w:hint="default"/>
                      <w:color w:val="auto"/>
                      <w:sz w:val="21"/>
                      <w:szCs w:val="21"/>
                      <w:lang w:val="en-US" w:eastAsia="zh-CN"/>
                    </w:rPr>
                  </w:pPr>
                  <w:r>
                    <w:rPr>
                      <w:color w:val="auto"/>
                      <w:sz w:val="21"/>
                      <w:szCs w:val="21"/>
                      <w:lang w:val="en-US" w:eastAsia="zh-CN"/>
                    </w:rPr>
                    <w:t>陕西省西咸新区开发建设管理委员会关于印发《西咸新区“十四五”生态环境保护规划》的通知（陕西咸发</w:t>
                  </w:r>
                  <w:r>
                    <w:rPr>
                      <w:rFonts w:hint="eastAsia"/>
                      <w:color w:val="auto"/>
                      <w:sz w:val="21"/>
                      <w:szCs w:val="21"/>
                      <w:lang w:val="en-US" w:eastAsia="zh-CN"/>
                    </w:rPr>
                    <w:t>〔</w:t>
                  </w:r>
                  <w:r>
                    <w:rPr>
                      <w:color w:val="auto"/>
                      <w:sz w:val="21"/>
                      <w:szCs w:val="21"/>
                      <w:lang w:val="en-US" w:eastAsia="zh-CN"/>
                    </w:rPr>
                    <w:t>2021</w:t>
                  </w:r>
                  <w:r>
                    <w:rPr>
                      <w:rFonts w:hint="eastAsia"/>
                      <w:color w:val="auto"/>
                      <w:sz w:val="21"/>
                      <w:szCs w:val="21"/>
                      <w:lang w:val="en-US" w:eastAsia="zh-CN"/>
                    </w:rPr>
                    <w:t>〕</w:t>
                  </w:r>
                  <w:r>
                    <w:rPr>
                      <w:color w:val="auto"/>
                      <w:sz w:val="21"/>
                      <w:szCs w:val="21"/>
                      <w:lang w:val="en-US" w:eastAsia="zh-CN"/>
                    </w:rPr>
                    <w:t>4号）</w:t>
                  </w:r>
                </w:p>
              </w:tc>
              <w:tc>
                <w:tcPr>
                  <w:tcW w:w="4347" w:type="dxa"/>
                  <w:tcBorders>
                    <w:tl2br w:val="nil"/>
                    <w:tr2bl w:val="nil"/>
                  </w:tcBorders>
                  <w:tcMar>
                    <w:left w:w="28" w:type="dxa"/>
                    <w:right w:w="28" w:type="dxa"/>
                  </w:tcMar>
                  <w:vAlign w:val="center"/>
                </w:tcPr>
                <w:p>
                  <w:pPr>
                    <w:bidi w:val="0"/>
                    <w:jc w:val="center"/>
                    <w:rPr>
                      <w:rFonts w:hint="default"/>
                      <w:color w:val="auto"/>
                      <w:sz w:val="21"/>
                      <w:szCs w:val="21"/>
                      <w:lang w:val="en-US" w:eastAsia="zh-CN"/>
                    </w:rPr>
                  </w:pPr>
                  <w:r>
                    <w:rPr>
                      <w:color w:val="auto"/>
                      <w:sz w:val="21"/>
                      <w:szCs w:val="21"/>
                    </w:rPr>
                    <w:t>实施重点领域VOCs综合治理。建立石化、包装印刷、家具、电子制造、工程机械制造等重点行业及工业园区的源头替代、过程控制和末端治理全过程治理体系，实施VOCs排放总量控制。全面落实《挥发性有机物无组织排放控制标准》要求，加强含VOCs物料密闭管理。</w:t>
                  </w:r>
                </w:p>
              </w:tc>
              <w:tc>
                <w:tcPr>
                  <w:tcW w:w="1861" w:type="dxa"/>
                  <w:tcBorders>
                    <w:tl2br w:val="nil"/>
                    <w:tr2bl w:val="nil"/>
                  </w:tcBorders>
                  <w:tcMar>
                    <w:left w:w="28" w:type="dxa"/>
                    <w:right w:w="28" w:type="dxa"/>
                  </w:tcMar>
                  <w:vAlign w:val="center"/>
                </w:tcPr>
                <w:p>
                  <w:pPr>
                    <w:bidi w:val="0"/>
                    <w:jc w:val="center"/>
                    <w:rPr>
                      <w:rFonts w:hint="eastAsia" w:eastAsia="宋体"/>
                      <w:color w:val="auto"/>
                      <w:sz w:val="21"/>
                      <w:szCs w:val="21"/>
                      <w:lang w:val="en-US" w:eastAsia="zh-CN"/>
                    </w:rPr>
                  </w:pPr>
                  <w:r>
                    <w:rPr>
                      <w:color w:val="auto"/>
                      <w:sz w:val="21"/>
                      <w:szCs w:val="21"/>
                    </w:rPr>
                    <w:t>本项目为</w:t>
                  </w:r>
                  <w:r>
                    <w:rPr>
                      <w:rFonts w:hint="eastAsia"/>
                      <w:color w:val="auto"/>
                      <w:sz w:val="21"/>
                      <w:szCs w:val="21"/>
                      <w:lang w:val="en-US" w:eastAsia="zh-CN"/>
                    </w:rPr>
                    <w:t>特种玻璃制造，不属于</w:t>
                  </w:r>
                  <w:r>
                    <w:rPr>
                      <w:color w:val="auto"/>
                      <w:sz w:val="21"/>
                      <w:szCs w:val="21"/>
                    </w:rPr>
                    <w:t>印刷、家具、电子制造、工程机械制造等重点行业。本项目</w:t>
                  </w:r>
                  <w:r>
                    <w:rPr>
                      <w:rFonts w:hint="eastAsia"/>
                      <w:color w:val="auto"/>
                      <w:sz w:val="21"/>
                      <w:szCs w:val="21"/>
                      <w:lang w:val="en-US" w:eastAsia="zh-CN"/>
                    </w:rPr>
                    <w:t>原料为钢化玻璃，储存过程不会产生非甲烷总烃</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restart"/>
                  <w:tcBorders>
                    <w:tl2br w:val="nil"/>
                    <w:tr2bl w:val="nil"/>
                  </w:tcBorders>
                  <w:tcMar>
                    <w:left w:w="28" w:type="dxa"/>
                    <w:right w:w="28" w:type="dxa"/>
                  </w:tcMar>
                  <w:vAlign w:val="center"/>
                </w:tcPr>
                <w:p>
                  <w:pPr>
                    <w:bidi w:val="0"/>
                    <w:jc w:val="center"/>
                    <w:rPr>
                      <w:color w:val="auto"/>
                      <w:sz w:val="21"/>
                      <w:szCs w:val="21"/>
                      <w:lang w:val="en-US" w:eastAsia="zh-CN"/>
                    </w:rPr>
                  </w:pPr>
                  <w:r>
                    <w:rPr>
                      <w:color w:val="auto"/>
                      <w:sz w:val="21"/>
                      <w:szCs w:val="21"/>
                    </w:rPr>
                    <w:t>关于印发《西咸新区大气污染治理专项行动方案2023-2027年）的通知</w:t>
                  </w:r>
                  <w:r>
                    <w:rPr>
                      <w:rFonts w:hint="eastAsia"/>
                      <w:color w:val="auto"/>
                      <w:sz w:val="21"/>
                      <w:szCs w:val="21"/>
                      <w:lang w:eastAsia="zh-CN"/>
                    </w:rPr>
                    <w:t>》</w:t>
                  </w:r>
                  <w:r>
                    <w:rPr>
                      <w:color w:val="auto"/>
                      <w:sz w:val="21"/>
                      <w:szCs w:val="21"/>
                    </w:rPr>
                    <w:t>（陕西咸党发</w:t>
                  </w:r>
                  <w:r>
                    <w:rPr>
                      <w:rFonts w:hint="eastAsia"/>
                      <w:color w:val="auto"/>
                      <w:sz w:val="21"/>
                      <w:szCs w:val="21"/>
                    </w:rPr>
                    <w:t>〔</w:t>
                  </w:r>
                  <w:r>
                    <w:rPr>
                      <w:color w:val="auto"/>
                      <w:sz w:val="21"/>
                      <w:szCs w:val="21"/>
                    </w:rPr>
                    <w:t>2023</w:t>
                  </w:r>
                  <w:r>
                    <w:rPr>
                      <w:rFonts w:hint="eastAsia"/>
                      <w:color w:val="auto"/>
                      <w:sz w:val="21"/>
                      <w:szCs w:val="21"/>
                    </w:rPr>
                    <w:t>〕</w:t>
                  </w:r>
                  <w:r>
                    <w:rPr>
                      <w:color w:val="auto"/>
                      <w:sz w:val="21"/>
                      <w:szCs w:val="21"/>
                    </w:rPr>
                    <w:t>4号）</w:t>
                  </w: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（一）推动结构调整</w:t>
                  </w:r>
                </w:p>
                <w:p>
                  <w:pPr>
                    <w:bidi w:val="0"/>
                    <w:jc w:val="center"/>
                    <w:rPr>
                      <w:color w:val="auto"/>
                      <w:sz w:val="21"/>
                      <w:szCs w:val="21"/>
                    </w:rPr>
                  </w:pPr>
                  <w:r>
                    <w:rPr>
                      <w:color w:val="auto"/>
                      <w:sz w:val="21"/>
                      <w:szCs w:val="21"/>
                    </w:rPr>
                    <w:t>3.产业发展结构调整。严格新、改、扩建涉气重点行业绩效评级限制条件。新区范围内新、改、扩建涉气重点行业企业应达到环保绩效A级、绩效引领性水平。</w:t>
                  </w:r>
                </w:p>
              </w:tc>
              <w:tc>
                <w:tcPr>
                  <w:tcW w:w="186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 w:val="21"/>
                      <w:szCs w:val="21"/>
                    </w:rPr>
                  </w:pPr>
                  <w:r>
                    <w:rPr>
                      <w:color w:val="auto"/>
                      <w:sz w:val="21"/>
                      <w:szCs w:val="21"/>
                    </w:rPr>
                    <w:t>本项目为</w:t>
                  </w:r>
                  <w:r>
                    <w:rPr>
                      <w:rFonts w:hint="eastAsia"/>
                      <w:color w:val="auto"/>
                      <w:sz w:val="21"/>
                      <w:szCs w:val="21"/>
                      <w:lang w:val="en-US" w:eastAsia="zh-CN"/>
                    </w:rPr>
                    <w:t>特种玻璃制造</w:t>
                  </w:r>
                  <w:r>
                    <w:rPr>
                      <w:color w:val="auto"/>
                      <w:sz w:val="21"/>
                      <w:szCs w:val="21"/>
                    </w:rPr>
                    <w:t>，不属于禁止类项目。本项目</w:t>
                  </w:r>
                  <w:r>
                    <w:rPr>
                      <w:rFonts w:hint="eastAsia"/>
                      <w:color w:val="auto"/>
                      <w:sz w:val="21"/>
                      <w:szCs w:val="21"/>
                      <w:lang w:val="en-US" w:eastAsia="zh-CN"/>
                    </w:rPr>
                    <w:t>符合</w:t>
                  </w:r>
                  <w:r>
                    <w:rPr>
                      <w:color w:val="auto"/>
                      <w:sz w:val="21"/>
                      <w:szCs w:val="21"/>
                    </w:rPr>
                    <w:t>《重污染天气重点行业应急减排措施制定技术指南（2020年修订版）》中规定的</w:t>
                  </w:r>
                  <w:r>
                    <w:rPr>
                      <w:rFonts w:hint="eastAsia"/>
                      <w:color w:val="auto"/>
                      <w:sz w:val="21"/>
                      <w:szCs w:val="21"/>
                      <w:lang w:val="en-US" w:eastAsia="zh-CN"/>
                    </w:rPr>
                    <w:t>玻璃后加工引领性指标</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（三）开展专项行动</w:t>
                  </w:r>
                </w:p>
                <w:p>
                  <w:pPr>
                    <w:bidi w:val="0"/>
                    <w:jc w:val="center"/>
                    <w:rPr>
                      <w:color w:val="auto"/>
                      <w:sz w:val="21"/>
                      <w:szCs w:val="21"/>
                    </w:rPr>
                  </w:pPr>
                  <w:r>
                    <w:rPr>
                      <w:color w:val="auto"/>
                      <w:sz w:val="21"/>
                      <w:szCs w:val="21"/>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186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 w:val="21"/>
                      <w:szCs w:val="21"/>
                    </w:rPr>
                  </w:pPr>
                  <w:r>
                    <w:rPr>
                      <w:color w:val="auto"/>
                      <w:sz w:val="21"/>
                      <w:szCs w:val="21"/>
                    </w:rPr>
                    <w:t>项目生产过程产生的有机废气采用</w:t>
                  </w:r>
                  <w:r>
                    <w:rPr>
                      <w:rFonts w:hint="eastAsia"/>
                      <w:color w:val="auto"/>
                      <w:sz w:val="21"/>
                      <w:szCs w:val="21"/>
                      <w:lang w:val="en-US" w:eastAsia="zh-CN"/>
                    </w:rPr>
                    <w:t>二级</w:t>
                  </w:r>
                  <w:r>
                    <w:rPr>
                      <w:color w:val="auto"/>
                      <w:sz w:val="21"/>
                      <w:szCs w:val="21"/>
                    </w:rPr>
                    <w:t>活性炭吸附装置处理</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restart"/>
                  <w:tcBorders>
                    <w:tl2br w:val="nil"/>
                    <w:tr2bl w:val="nil"/>
                  </w:tcBorders>
                  <w:tcMar>
                    <w:left w:w="28" w:type="dxa"/>
                    <w:right w:w="28" w:type="dxa"/>
                  </w:tcMar>
                  <w:vAlign w:val="center"/>
                </w:tcPr>
                <w:p>
                  <w:pPr>
                    <w:bidi w:val="0"/>
                    <w:jc w:val="center"/>
                    <w:rPr>
                      <w:color w:val="auto"/>
                      <w:sz w:val="21"/>
                      <w:szCs w:val="21"/>
                      <w:lang w:val="en-US" w:eastAsia="zh-CN"/>
                    </w:rPr>
                  </w:pPr>
                  <w:r>
                    <w:rPr>
                      <w:color w:val="auto"/>
                      <w:sz w:val="21"/>
                      <w:szCs w:val="21"/>
                    </w:rPr>
                    <w:t>关于印发《泾河新城大气污染治理专项行动方案2023-2027年）的通知</w:t>
                  </w:r>
                  <w:r>
                    <w:rPr>
                      <w:rFonts w:hint="eastAsia"/>
                      <w:color w:val="auto"/>
                      <w:sz w:val="21"/>
                      <w:szCs w:val="21"/>
                      <w:lang w:eastAsia="zh-CN"/>
                    </w:rPr>
                    <w:t>》</w:t>
                  </w:r>
                  <w:r>
                    <w:rPr>
                      <w:color w:val="auto"/>
                      <w:sz w:val="21"/>
                      <w:szCs w:val="21"/>
                    </w:rPr>
                    <w:t>（陕泾河发</w:t>
                  </w:r>
                  <w:r>
                    <w:rPr>
                      <w:rFonts w:hint="eastAsia"/>
                      <w:color w:val="auto"/>
                      <w:sz w:val="21"/>
                      <w:szCs w:val="21"/>
                      <w:lang w:eastAsia="zh-CN"/>
                    </w:rPr>
                    <w:t>〔</w:t>
                  </w:r>
                  <w:r>
                    <w:rPr>
                      <w:color w:val="auto"/>
                      <w:sz w:val="21"/>
                      <w:szCs w:val="21"/>
                    </w:rPr>
                    <w:t>2023</w:t>
                  </w:r>
                  <w:r>
                    <w:rPr>
                      <w:rFonts w:hint="eastAsia"/>
                      <w:color w:val="auto"/>
                      <w:sz w:val="21"/>
                      <w:szCs w:val="21"/>
                      <w:lang w:eastAsia="zh-CN"/>
                    </w:rPr>
                    <w:t>〕</w:t>
                  </w:r>
                  <w:r>
                    <w:rPr>
                      <w:color w:val="auto"/>
                      <w:sz w:val="21"/>
                      <w:szCs w:val="21"/>
                    </w:rPr>
                    <w:t>22号）</w:t>
                  </w: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3.产业发展结构调整。</w:t>
                  </w:r>
                </w:p>
                <w:p>
                  <w:pPr>
                    <w:bidi w:val="0"/>
                    <w:jc w:val="center"/>
                    <w:rPr>
                      <w:color w:val="auto"/>
                      <w:sz w:val="21"/>
                      <w:szCs w:val="21"/>
                    </w:rPr>
                  </w:pPr>
                  <w:r>
                    <w:rPr>
                      <w:color w:val="auto"/>
                      <w:sz w:val="21"/>
                      <w:szCs w:val="21"/>
                    </w:rPr>
                    <w:t>严格新、改、扩建涉气重点行业绩效评级限制条件。新城范围内新、改、扩建涉气重点行业企业应达到环保绩效A级、绩效引领性水平。</w:t>
                  </w:r>
                </w:p>
              </w:tc>
              <w:tc>
                <w:tcPr>
                  <w:tcW w:w="186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 w:val="21"/>
                      <w:szCs w:val="21"/>
                    </w:rPr>
                  </w:pPr>
                  <w:r>
                    <w:rPr>
                      <w:color w:val="auto"/>
                      <w:sz w:val="21"/>
                      <w:szCs w:val="21"/>
                    </w:rPr>
                    <w:t>本项目为</w:t>
                  </w:r>
                  <w:r>
                    <w:rPr>
                      <w:rFonts w:hint="eastAsia"/>
                      <w:color w:val="auto"/>
                      <w:sz w:val="21"/>
                      <w:szCs w:val="21"/>
                      <w:lang w:val="en-US" w:eastAsia="zh-CN"/>
                    </w:rPr>
                    <w:t>特种玻璃制造</w:t>
                  </w:r>
                  <w:r>
                    <w:rPr>
                      <w:color w:val="auto"/>
                      <w:sz w:val="21"/>
                      <w:szCs w:val="21"/>
                    </w:rPr>
                    <w:t>，不属于禁止类项目。本项目</w:t>
                  </w:r>
                  <w:r>
                    <w:rPr>
                      <w:rFonts w:hint="eastAsia"/>
                      <w:color w:val="auto"/>
                      <w:sz w:val="21"/>
                      <w:szCs w:val="21"/>
                      <w:lang w:val="en-US" w:eastAsia="zh-CN"/>
                    </w:rPr>
                    <w:t>符合</w:t>
                  </w:r>
                  <w:r>
                    <w:rPr>
                      <w:color w:val="auto"/>
                      <w:sz w:val="21"/>
                      <w:szCs w:val="21"/>
                    </w:rPr>
                    <w:t>《重污染天气重点行业应急减排措施制定技术指南（2020年修订版）》中规定的</w:t>
                  </w:r>
                  <w:r>
                    <w:rPr>
                      <w:rFonts w:hint="eastAsia"/>
                      <w:color w:val="auto"/>
                      <w:sz w:val="21"/>
                      <w:szCs w:val="21"/>
                      <w:lang w:val="en-US" w:eastAsia="zh-CN"/>
                    </w:rPr>
                    <w:t>玻璃后加工引领性指标</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tabs>
                      <w:tab w:val="left" w:pos="3739"/>
                    </w:tabs>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dxa"/>
                  <w:vMerge w:val="continue"/>
                  <w:tcBorders>
                    <w:tl2br w:val="nil"/>
                    <w:tr2bl w:val="nil"/>
                  </w:tcBorders>
                  <w:tcMar>
                    <w:left w:w="28" w:type="dxa"/>
                    <w:right w:w="28" w:type="dxa"/>
                  </w:tcMar>
                  <w:vAlign w:val="center"/>
                </w:tcPr>
                <w:p>
                  <w:pPr>
                    <w:bidi w:val="0"/>
                    <w:jc w:val="center"/>
                    <w:rPr>
                      <w:color w:val="auto"/>
                      <w:sz w:val="21"/>
                      <w:szCs w:val="21"/>
                      <w:lang w:val="en-US" w:eastAsia="zh-CN"/>
                    </w:rPr>
                  </w:pPr>
                </w:p>
              </w:tc>
              <w:tc>
                <w:tcPr>
                  <w:tcW w:w="4347" w:type="dxa"/>
                  <w:tcBorders>
                    <w:tl2br w:val="nil"/>
                    <w:tr2bl w:val="nil"/>
                  </w:tcBorders>
                  <w:tcMar>
                    <w:left w:w="28" w:type="dxa"/>
                    <w:right w:w="28" w:type="dxa"/>
                  </w:tcMar>
                  <w:vAlign w:val="center"/>
                </w:tcPr>
                <w:p>
                  <w:pPr>
                    <w:bidi w:val="0"/>
                    <w:jc w:val="center"/>
                    <w:rPr>
                      <w:color w:val="auto"/>
                      <w:sz w:val="21"/>
                      <w:szCs w:val="21"/>
                    </w:rPr>
                  </w:pPr>
                  <w:r>
                    <w:rPr>
                      <w:color w:val="auto"/>
                      <w:sz w:val="21"/>
                      <w:szCs w:val="21"/>
                    </w:rPr>
                    <w:t>强化VOCs末端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低温等离子、光氧化、光催化等处理方式，非水溶性VOCs废气不再采用喷淋吸收方式处理。</w:t>
                  </w:r>
                </w:p>
              </w:tc>
              <w:tc>
                <w:tcPr>
                  <w:tcW w:w="1861"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 w:val="21"/>
                      <w:szCs w:val="21"/>
                    </w:rPr>
                  </w:pPr>
                  <w:r>
                    <w:rPr>
                      <w:color w:val="auto"/>
                      <w:sz w:val="21"/>
                      <w:szCs w:val="21"/>
                    </w:rPr>
                    <w:t>项目生产过程产生的有机废气采用</w:t>
                  </w:r>
                  <w:r>
                    <w:rPr>
                      <w:rFonts w:hint="eastAsia"/>
                      <w:color w:val="auto"/>
                      <w:sz w:val="21"/>
                      <w:szCs w:val="21"/>
                      <w:lang w:val="en-US" w:eastAsia="zh-CN"/>
                    </w:rPr>
                    <w:t>二级</w:t>
                  </w:r>
                  <w:r>
                    <w:rPr>
                      <w:color w:val="auto"/>
                      <w:sz w:val="21"/>
                      <w:szCs w:val="21"/>
                    </w:rPr>
                    <w:t>活性炭吸附装置处理</w:t>
                  </w:r>
                  <w:r>
                    <w:rPr>
                      <w:rFonts w:hint="eastAsia"/>
                      <w:color w:val="auto"/>
                      <w:sz w:val="21"/>
                      <w:szCs w:val="21"/>
                      <w:lang w:eastAsia="zh-CN"/>
                    </w:rPr>
                    <w:t>。</w:t>
                  </w:r>
                </w:p>
              </w:tc>
              <w:tc>
                <w:tcPr>
                  <w:tcW w:w="598" w:type="dxa"/>
                  <w:tcBorders>
                    <w:tl2br w:val="nil"/>
                    <w:tr2bl w:val="nil"/>
                  </w:tcBorders>
                  <w:tcMar>
                    <w:left w:w="28" w:type="dxa"/>
                    <w:right w:w="28" w:type="dxa"/>
                  </w:tcMar>
                  <w:vAlign w:val="center"/>
                </w:tcPr>
                <w:p>
                  <w:pPr>
                    <w:keepNext w:val="0"/>
                    <w:keepLines w:val="0"/>
                    <w:pageBreakBefore w:val="0"/>
                    <w:widowControl w:val="0"/>
                    <w:kinsoku/>
                    <w:wordWrap/>
                    <w:overflowPunct/>
                    <w:topLinePunct w:val="0"/>
                    <w:bidi w:val="0"/>
                    <w:adjustRightInd w:val="0"/>
                    <w:snapToGrid w:val="0"/>
                    <w:spacing w:beforeAutospacing="0" w:line="240" w:lineRule="auto"/>
                    <w:ind w:left="0" w:leftChars="0" w:right="0" w:rightChars="0"/>
                    <w:jc w:val="center"/>
                    <w:rPr>
                      <w:rFonts w:hint="eastAsia"/>
                      <w:color w:val="auto"/>
                      <w:sz w:val="21"/>
                      <w:szCs w:val="21"/>
                      <w:lang w:val="en-US" w:eastAsia="zh-CN"/>
                    </w:rPr>
                  </w:pPr>
                  <w:r>
                    <w:rPr>
                      <w:bCs/>
                      <w:color w:val="auto"/>
                      <w:sz w:val="21"/>
                      <w:szCs w:val="21"/>
                    </w:rPr>
                    <w:t>符合</w:t>
                  </w:r>
                </w:p>
              </w:tc>
            </w:tr>
          </w:tbl>
          <w:p>
            <w:pPr>
              <w:numPr>
                <w:ilvl w:val="0"/>
                <w:numId w:val="1"/>
              </w:numPr>
              <w:spacing w:before="120" w:beforeLines="50" w:line="360" w:lineRule="auto"/>
              <w:ind w:firstLine="482" w:firstLineChars="200"/>
              <w:jc w:val="left"/>
              <w:rPr>
                <w:b/>
                <w:color w:val="auto"/>
                <w:sz w:val="24"/>
              </w:rPr>
            </w:pPr>
            <w:r>
              <w:rPr>
                <w:rFonts w:hint="eastAsia"/>
                <w:b/>
                <w:color w:val="auto"/>
                <w:sz w:val="24"/>
              </w:rPr>
              <w:t>本项目与《</w:t>
            </w:r>
            <w:bookmarkStart w:id="3" w:name="_Toc44493931"/>
            <w:r>
              <w:rPr>
                <w:rFonts w:hint="eastAsia"/>
                <w:b/>
                <w:color w:val="auto"/>
                <w:sz w:val="24"/>
              </w:rPr>
              <w:t>重污染天气重点行业应急减排措施制定</w:t>
            </w:r>
            <w:bookmarkEnd w:id="3"/>
            <w:bookmarkStart w:id="4" w:name="_Toc44493932"/>
            <w:r>
              <w:rPr>
                <w:rFonts w:hint="eastAsia"/>
                <w:b/>
                <w:color w:val="auto"/>
                <w:sz w:val="24"/>
              </w:rPr>
              <w:t>技术指南</w:t>
            </w:r>
            <w:bookmarkEnd w:id="4"/>
            <w:r>
              <w:rPr>
                <w:rFonts w:hint="eastAsia"/>
                <w:b/>
                <w:color w:val="auto"/>
                <w:sz w:val="24"/>
              </w:rPr>
              <w:t>》（</w:t>
            </w:r>
            <w:r>
              <w:rPr>
                <w:b/>
                <w:color w:val="auto"/>
                <w:sz w:val="24"/>
              </w:rPr>
              <w:t>2020</w:t>
            </w:r>
            <w:r>
              <w:rPr>
                <w:rFonts w:hint="eastAsia"/>
                <w:b/>
                <w:color w:val="auto"/>
                <w:sz w:val="24"/>
              </w:rPr>
              <w:t>年修订版）中标准要求（</w:t>
            </w:r>
            <w:r>
              <w:rPr>
                <w:rFonts w:hint="eastAsia"/>
                <w:b/>
                <w:color w:val="auto"/>
                <w:sz w:val="24"/>
                <w:lang w:val="en-US" w:eastAsia="zh-CN"/>
              </w:rPr>
              <w:t>玻璃后加工</w:t>
            </w:r>
            <w:r>
              <w:rPr>
                <w:rFonts w:hint="eastAsia"/>
                <w:b/>
                <w:color w:val="auto"/>
                <w:sz w:val="24"/>
              </w:rPr>
              <w:t>绩效引领性指标）符合性分析</w:t>
            </w:r>
          </w:p>
          <w:p>
            <w:pPr>
              <w:spacing w:line="360" w:lineRule="auto"/>
              <w:ind w:firstLine="480" w:firstLineChars="200"/>
              <w:rPr>
                <w:color w:val="auto"/>
                <w:sz w:val="24"/>
              </w:rPr>
            </w:pPr>
            <w:r>
              <w:rPr>
                <w:rFonts w:hint="eastAsia"/>
                <w:color w:val="auto"/>
                <w:sz w:val="24"/>
              </w:rPr>
              <w:t>本项目为新建项目，项目属于</w:t>
            </w:r>
            <w:r>
              <w:rPr>
                <w:rFonts w:hint="eastAsia"/>
                <w:color w:val="auto"/>
                <w:sz w:val="24"/>
                <w:lang w:val="en-US" w:eastAsia="zh-CN"/>
              </w:rPr>
              <w:t>特种玻璃制造</w:t>
            </w:r>
            <w:r>
              <w:rPr>
                <w:rFonts w:hint="eastAsia"/>
                <w:color w:val="auto"/>
                <w:sz w:val="24"/>
              </w:rPr>
              <w:t>，废气执行</w:t>
            </w:r>
            <w:r>
              <w:rPr>
                <w:rFonts w:hint="eastAsia"/>
                <w:color w:val="auto"/>
                <w:sz w:val="24"/>
                <w:lang w:eastAsia="zh-CN"/>
              </w:rPr>
              <w:t>《</w:t>
            </w:r>
            <w:r>
              <w:rPr>
                <w:rFonts w:hint="eastAsia"/>
                <w:color w:val="auto"/>
                <w:sz w:val="24"/>
                <w:lang w:val="en-US" w:eastAsia="zh-CN"/>
              </w:rPr>
              <w:t>大气污染物综合排放标准</w:t>
            </w:r>
            <w:r>
              <w:rPr>
                <w:rFonts w:hint="eastAsia"/>
                <w:color w:val="auto"/>
                <w:sz w:val="24"/>
                <w:lang w:eastAsia="zh-CN"/>
              </w:rPr>
              <w:t>》</w:t>
            </w:r>
            <w:r>
              <w:rPr>
                <w:rFonts w:hint="eastAsia"/>
                <w:color w:val="auto"/>
                <w:sz w:val="24"/>
              </w:rPr>
              <w:t>；为满足《陕西省大气污染治理专项行动方案（2023-2027年）》，《西安市大气污染治理专项行动方案（2023-2027年）》《西咸新区大气污染治理专项行动方案（2023-2027年）》《泾河新城大气污染治理专项行动方案（2023-2027年）》，企业承诺严格按照《重污染天气重点行业应急减排措施制定技术指南》（2020年修订版）中十</w:t>
            </w:r>
            <w:r>
              <w:rPr>
                <w:rFonts w:hint="eastAsia"/>
                <w:color w:val="auto"/>
                <w:sz w:val="24"/>
                <w:lang w:val="en-US" w:eastAsia="zh-CN"/>
              </w:rPr>
              <w:t>九</w:t>
            </w:r>
            <w:r>
              <w:rPr>
                <w:rFonts w:hint="eastAsia"/>
                <w:color w:val="auto"/>
                <w:sz w:val="24"/>
              </w:rPr>
              <w:t>、</w:t>
            </w:r>
            <w:r>
              <w:rPr>
                <w:rFonts w:hint="eastAsia"/>
                <w:color w:val="auto"/>
                <w:sz w:val="24"/>
                <w:lang w:val="en-US" w:eastAsia="zh-CN"/>
              </w:rPr>
              <w:t>玻璃后加工</w:t>
            </w:r>
            <w:r>
              <w:rPr>
                <w:rFonts w:hint="eastAsia"/>
                <w:color w:val="auto"/>
                <w:sz w:val="24"/>
              </w:rPr>
              <w:t>绩效引领性指标进行建设。</w:t>
            </w:r>
          </w:p>
          <w:p>
            <w:pPr>
              <w:pStyle w:val="86"/>
              <w:pageBreakBefore/>
              <w:rPr>
                <w:rFonts w:hint="eastAsia"/>
                <w:color w:val="auto"/>
                <w:kern w:val="0"/>
              </w:rPr>
            </w:pPr>
          </w:p>
          <w:p>
            <w:pPr>
              <w:pStyle w:val="86"/>
              <w:pageBreakBefore/>
              <w:rPr>
                <w:rFonts w:hint="eastAsia"/>
                <w:color w:val="auto"/>
                <w:kern w:val="0"/>
              </w:rPr>
            </w:pPr>
          </w:p>
          <w:p>
            <w:pPr>
              <w:pStyle w:val="86"/>
              <w:pageBreakBefore/>
              <w:rPr>
                <w:bCs/>
                <w:color w:val="auto"/>
              </w:rPr>
            </w:pPr>
            <w:r>
              <w:rPr>
                <w:rFonts w:hint="eastAsia"/>
                <w:color w:val="auto"/>
                <w:kern w:val="0"/>
              </w:rPr>
              <w:t>表1</w:t>
            </w:r>
            <w:r>
              <w:rPr>
                <w:color w:val="auto"/>
                <w:kern w:val="0"/>
              </w:rPr>
              <w:t>-5</w:t>
            </w:r>
            <w:r>
              <w:rPr>
                <w:bCs/>
                <w:color w:val="auto"/>
              </w:rPr>
              <w:t xml:space="preserve"> </w:t>
            </w:r>
            <w:r>
              <w:rPr>
                <w:rFonts w:hint="eastAsia"/>
                <w:bCs/>
                <w:color w:val="auto"/>
              </w:rPr>
              <w:t>本项目与</w:t>
            </w:r>
            <w:r>
              <w:rPr>
                <w:rFonts w:hint="eastAsia"/>
                <w:bCs/>
                <w:color w:val="auto"/>
                <w:lang w:val="en-US" w:eastAsia="zh-CN"/>
              </w:rPr>
              <w:t>玻璃后加工</w:t>
            </w:r>
            <w:r>
              <w:rPr>
                <w:rFonts w:hint="eastAsia"/>
                <w:color w:val="auto"/>
              </w:rPr>
              <w:t>绩效分级引领性指标</w:t>
            </w:r>
            <w:r>
              <w:rPr>
                <w:rFonts w:hint="eastAsia"/>
                <w:bCs/>
                <w:color w:val="auto"/>
              </w:rPr>
              <w:t>符合性一览表</w:t>
            </w:r>
          </w:p>
          <w:tbl>
            <w:tblPr>
              <w:tblStyle w:val="29"/>
              <w:tblW w:w="797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51"/>
              <w:gridCol w:w="3288"/>
              <w:gridCol w:w="9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color w:val="auto"/>
                      <w:sz w:val="21"/>
                      <w:szCs w:val="21"/>
                    </w:rPr>
                    <w:t>指标</w:t>
                  </w:r>
                </w:p>
              </w:tc>
              <w:tc>
                <w:tcPr>
                  <w:tcW w:w="2951"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color w:val="auto"/>
                      <w:sz w:val="21"/>
                      <w:szCs w:val="21"/>
                    </w:rPr>
                    <w:t>要求</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color w:val="auto"/>
                      <w:sz w:val="21"/>
                      <w:szCs w:val="21"/>
                    </w:rPr>
                    <w:t>本项目</w:t>
                  </w:r>
                  <w:r>
                    <w:rPr>
                      <w:rFonts w:hint="eastAsia"/>
                      <w:color w:val="auto"/>
                      <w:sz w:val="21"/>
                      <w:szCs w:val="21"/>
                    </w:rPr>
                    <w:t>情况</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color w:val="auto"/>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能源类型</w:t>
                  </w:r>
                </w:p>
              </w:tc>
              <w:tc>
                <w:tcPr>
                  <w:tcW w:w="2951"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rFonts w:hint="eastAsia" w:eastAsia="宋体"/>
                      <w:color w:val="auto"/>
                      <w:sz w:val="21"/>
                      <w:szCs w:val="21"/>
                      <w:lang w:val="en-US" w:eastAsia="zh-CN"/>
                    </w:rPr>
                  </w:pPr>
                  <w:r>
                    <w:rPr>
                      <w:rFonts w:hint="eastAsia"/>
                      <w:color w:val="auto"/>
                      <w:sz w:val="21"/>
                      <w:szCs w:val="21"/>
                      <w:lang w:val="en-US" w:eastAsia="zh-CN"/>
                    </w:rPr>
                    <w:t>电</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rFonts w:hint="default" w:eastAsia="宋体"/>
                      <w:color w:val="auto"/>
                      <w:sz w:val="21"/>
                      <w:szCs w:val="21"/>
                      <w:lang w:val="en-US" w:eastAsia="zh-CN"/>
                    </w:rPr>
                  </w:pPr>
                  <w:r>
                    <w:rPr>
                      <w:rFonts w:hint="eastAsia"/>
                      <w:color w:val="auto"/>
                      <w:sz w:val="21"/>
                      <w:szCs w:val="21"/>
                      <w:lang w:val="en-US" w:eastAsia="zh-CN"/>
                    </w:rPr>
                    <w:t>本项目能源使用电能</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rFonts w:hint="eastAsia" w:eastAsia="宋体"/>
                      <w:color w:val="auto"/>
                      <w:sz w:val="21"/>
                      <w:szCs w:val="21"/>
                      <w:lang w:val="en-US" w:eastAsia="zh-CN"/>
                    </w:rPr>
                  </w:pPr>
                  <w:r>
                    <w:rPr>
                      <w:rFonts w:hint="eastAsia"/>
                      <w:color w:val="auto"/>
                      <w:sz w:val="21"/>
                      <w:szCs w:val="21"/>
                      <w:lang w:val="en-US" w:eastAsia="zh-CN"/>
                    </w:rPr>
                    <w:t>污染防治技术</w:t>
                  </w:r>
                </w:p>
              </w:tc>
              <w:tc>
                <w:tcPr>
                  <w:tcW w:w="2951" w:type="dxa"/>
                  <w:tcBorders>
                    <w:tl2br w:val="nil"/>
                    <w:tr2bl w:val="nil"/>
                  </w:tcBorders>
                  <w:shd w:val="clear" w:color="auto" w:fill="auto"/>
                  <w:vAlign w:val="center"/>
                </w:tcPr>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10"/>
                      <w:sz w:val="21"/>
                      <w:szCs w:val="21"/>
                    </w:rPr>
                    <w:t>1、除尘采用袋式除尘工艺；</w:t>
                  </w:r>
                </w:p>
                <w:p>
                  <w:pPr>
                    <w:pStyle w:val="87"/>
                    <w:keepNext w:val="0"/>
                    <w:keepLines w:val="0"/>
                    <w:pageBreakBefore w:val="0"/>
                    <w:kinsoku/>
                    <w:wordWrap/>
                    <w:overflowPunct/>
                    <w:topLinePunct/>
                    <w:bidi w:val="0"/>
                    <w:adjustRightInd w:val="0"/>
                    <w:snapToGrid w:val="0"/>
                    <w:ind w:right="0" w:firstLine="0"/>
                    <w:jc w:val="both"/>
                    <w:rPr>
                      <w:rFonts w:hint="eastAsia"/>
                      <w:color w:val="auto"/>
                      <w:sz w:val="21"/>
                      <w:szCs w:val="21"/>
                      <w:lang w:val="en-US" w:eastAsia="zh-CN"/>
                    </w:rPr>
                  </w:pPr>
                  <w:r>
                    <w:rPr>
                      <w:rFonts w:hint="default" w:ascii="Times New Roman" w:hAnsi="Times New Roman" w:cs="Times New Roman"/>
                      <w:color w:val="auto"/>
                      <w:sz w:val="21"/>
                      <w:szCs w:val="21"/>
                    </w:rPr>
                    <w:t>2、日用玻璃喷涂彩装工序VOCs治理采用喷淋洗涤、吸附、氧化等两种及以上组合工艺或燃烧工艺；玻璃棉施胶VOCs采用燃烧或喷淋、吸附、低温等离子体、生物法等两种以上组合工艺</w:t>
                  </w:r>
                  <w:r>
                    <w:rPr>
                      <w:rFonts w:hint="eastAsia"/>
                      <w:color w:val="auto"/>
                      <w:sz w:val="21"/>
                      <w:szCs w:val="21"/>
                    </w:rPr>
                    <w:t>。</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rFonts w:hint="default"/>
                      <w:color w:val="auto"/>
                      <w:sz w:val="21"/>
                      <w:szCs w:val="21"/>
                      <w:lang w:val="en-US" w:eastAsia="zh-CN"/>
                    </w:rPr>
                  </w:pPr>
                  <w:r>
                    <w:rPr>
                      <w:color w:val="auto"/>
                      <w:szCs w:val="21"/>
                      <w:highlight w:val="none"/>
                    </w:rPr>
                    <w:t>本项目</w:t>
                  </w:r>
                  <w:r>
                    <w:rPr>
                      <w:rFonts w:hint="eastAsia"/>
                      <w:color w:val="auto"/>
                      <w:szCs w:val="21"/>
                      <w:highlight w:val="none"/>
                      <w:lang w:val="en-US" w:eastAsia="zh-CN"/>
                    </w:rPr>
                    <w:t>废气主要是非甲烷总烃及颗粒物，其中非甲烷总烃产生量为18kg/a，颗粒物产生量为7.867kg/a，锡及其化合物产生量为6.942kg/a；经3M过滤棉+二级活性炭处理后非甲烷总烃有组织排放量为4.41kg/a，颗粒物有组织排放量为0.49kg/a</w:t>
                  </w:r>
                  <w:r>
                    <w:rPr>
                      <w:rFonts w:hint="eastAsia"/>
                      <w:color w:val="auto"/>
                      <w:szCs w:val="21"/>
                      <w:highlight w:val="none"/>
                      <w:lang w:eastAsia="zh-CN"/>
                    </w:rPr>
                    <w:t>，</w:t>
                  </w:r>
                  <w:r>
                    <w:rPr>
                      <w:rFonts w:hint="eastAsia"/>
                      <w:color w:val="auto"/>
                      <w:szCs w:val="21"/>
                      <w:highlight w:val="none"/>
                      <w:lang w:val="en-US" w:eastAsia="zh-CN"/>
                    </w:rPr>
                    <w:t>锡及其化合物有组织排放量为0.416kg/a</w:t>
                  </w:r>
                  <w:r>
                    <w:rPr>
                      <w:rFonts w:hint="eastAsia"/>
                      <w:color w:val="auto"/>
                      <w:szCs w:val="21"/>
                      <w:highlight w:val="none"/>
                      <w:lang w:eastAsia="zh-CN"/>
                    </w:rPr>
                    <w:t>，</w:t>
                  </w:r>
                  <w:r>
                    <w:rPr>
                      <w:rFonts w:hint="eastAsia"/>
                      <w:color w:val="auto"/>
                      <w:lang w:val="en-US" w:eastAsia="zh-CN"/>
                    </w:rPr>
                    <w:t>污染物产生量及排放量非常小，基本符合。</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rFonts w:hint="eastAsia" w:eastAsia="宋体"/>
                      <w:color w:val="auto"/>
                      <w:sz w:val="21"/>
                      <w:szCs w:val="21"/>
                      <w:lang w:val="en-US" w:eastAsia="zh-CN"/>
                    </w:rPr>
                  </w:pPr>
                  <w:r>
                    <w:rPr>
                      <w:rFonts w:hint="eastAsia"/>
                      <w:color w:val="auto"/>
                      <w:sz w:val="21"/>
                      <w:szCs w:val="21"/>
                      <w:lang w:val="en-US" w:eastAsia="zh-CN"/>
                    </w:rPr>
                    <w:t>基本符合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排放</w:t>
                  </w:r>
                </w:p>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限值</w:t>
                  </w:r>
                </w:p>
              </w:tc>
              <w:tc>
                <w:tcPr>
                  <w:tcW w:w="2951"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rFonts w:hint="eastAsia" w:eastAsia="宋体"/>
                      <w:color w:val="auto"/>
                      <w:sz w:val="21"/>
                      <w:szCs w:val="21"/>
                      <w:lang w:eastAsia="zh-CN"/>
                    </w:rPr>
                  </w:pPr>
                  <w:r>
                    <w:rPr>
                      <w:rFonts w:hint="default" w:ascii="Times New Roman" w:hAnsi="Times New Roman" w:cs="Times New Roman"/>
                      <w:color w:val="auto"/>
                      <w:sz w:val="21"/>
                      <w:szCs w:val="21"/>
                    </w:rPr>
                    <w:t>PM</w:t>
                  </w:r>
                  <w:r>
                    <w:rPr>
                      <w:rFonts w:hint="default" w:ascii="Times New Roman" w:hAnsi="Times New Roman" w:cs="Times New Roman"/>
                      <w:color w:val="auto"/>
                      <w:spacing w:val="12"/>
                      <w:sz w:val="21"/>
                      <w:szCs w:val="21"/>
                    </w:rPr>
                    <w:t>、</w:t>
                  </w:r>
                  <w:r>
                    <w:rPr>
                      <w:rFonts w:hint="default" w:ascii="Times New Roman" w:hAnsi="Times New Roman" w:cs="Times New Roman"/>
                      <w:color w:val="auto"/>
                      <w:sz w:val="21"/>
                      <w:szCs w:val="21"/>
                    </w:rPr>
                    <w:t>NMHC</w:t>
                  </w:r>
                  <w:r>
                    <w:rPr>
                      <w:rFonts w:hint="default" w:ascii="Times New Roman" w:hAnsi="Times New Roman" w:cs="Times New Roman"/>
                      <w:color w:val="auto"/>
                      <w:spacing w:val="12"/>
                      <w:sz w:val="21"/>
                      <w:szCs w:val="21"/>
                    </w:rPr>
                    <w:t>排放浓度分别不高于10、60</w:t>
                  </w:r>
                  <w:r>
                    <w:rPr>
                      <w:rFonts w:hint="default" w:ascii="Times New Roman" w:hAnsi="Times New Roman" w:cs="Times New Roman"/>
                      <w:color w:val="auto"/>
                      <w:sz w:val="21"/>
                      <w:szCs w:val="21"/>
                    </w:rPr>
                    <w:t>mg</w:t>
                  </w:r>
                  <w:r>
                    <w:rPr>
                      <w:rFonts w:hint="default" w:ascii="Times New Roman" w:hAnsi="Times New Roman" w:cs="Times New Roman"/>
                      <w:color w:val="auto"/>
                      <w:spacing w:val="12"/>
                      <w:sz w:val="21"/>
                      <w:szCs w:val="21"/>
                    </w:rPr>
                    <w:t>/m³</w:t>
                  </w:r>
                  <w:r>
                    <w:rPr>
                      <w:rFonts w:hint="eastAsia" w:ascii="Times New Roman" w:hAnsi="Times New Roman" w:cs="Times New Roman"/>
                      <w:color w:val="auto"/>
                      <w:spacing w:val="12"/>
                      <w:sz w:val="21"/>
                      <w:szCs w:val="21"/>
                      <w:lang w:eastAsia="zh-CN"/>
                    </w:rPr>
                    <w:t>。</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color w:val="auto"/>
                      <w:sz w:val="21"/>
                      <w:szCs w:val="21"/>
                    </w:rPr>
                  </w:pPr>
                  <w:r>
                    <w:rPr>
                      <w:rFonts w:hint="eastAsia"/>
                      <w:color w:val="auto"/>
                      <w:sz w:val="21"/>
                      <w:szCs w:val="21"/>
                    </w:rPr>
                    <w:t>根据工程分析，本项目</w:t>
                  </w:r>
                  <w:r>
                    <w:rPr>
                      <w:rFonts w:hint="eastAsia"/>
                      <w:color w:val="auto"/>
                      <w:sz w:val="21"/>
                      <w:szCs w:val="21"/>
                      <w:lang w:val="en-US" w:eastAsia="zh-CN"/>
                    </w:rPr>
                    <w:t>颗粒物排放浓度为0.051mg/m</w:t>
                  </w:r>
                  <w:r>
                    <w:rPr>
                      <w:rFonts w:hint="eastAsia"/>
                      <w:color w:val="auto"/>
                      <w:sz w:val="21"/>
                      <w:szCs w:val="21"/>
                      <w:vertAlign w:val="superscript"/>
                      <w:lang w:val="en-US" w:eastAsia="zh-CN"/>
                    </w:rPr>
                    <w:t>3</w:t>
                  </w:r>
                  <w:r>
                    <w:rPr>
                      <w:rFonts w:hint="eastAsia"/>
                      <w:color w:val="auto"/>
                      <w:sz w:val="21"/>
                      <w:szCs w:val="21"/>
                      <w:lang w:val="en-US" w:eastAsia="zh-CN"/>
                    </w:rPr>
                    <w:t>、非甲烷总烃排放浓度为0.46mg/m</w:t>
                  </w:r>
                  <w:r>
                    <w:rPr>
                      <w:rFonts w:hint="eastAsia"/>
                      <w:color w:val="auto"/>
                      <w:sz w:val="21"/>
                      <w:szCs w:val="21"/>
                      <w:vertAlign w:val="superscript"/>
                      <w:lang w:val="en-US" w:eastAsia="zh-CN"/>
                    </w:rPr>
                    <w:t>3</w:t>
                  </w:r>
                  <w:r>
                    <w:rPr>
                      <w:rFonts w:hint="eastAsia"/>
                      <w:color w:val="auto"/>
                      <w:sz w:val="21"/>
                      <w:szCs w:val="21"/>
                    </w:rPr>
                    <w:t>。</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无组织排放</w:t>
                  </w:r>
                </w:p>
              </w:tc>
              <w:tc>
                <w:tcPr>
                  <w:tcW w:w="2951" w:type="dxa"/>
                  <w:tcBorders>
                    <w:tl2br w:val="nil"/>
                    <w:tr2bl w:val="nil"/>
                  </w:tcBorders>
                  <w:shd w:val="clear" w:color="auto" w:fill="auto"/>
                  <w:vAlign w:val="center"/>
                </w:tcPr>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position w:val="6"/>
                      <w:sz w:val="21"/>
                      <w:szCs w:val="21"/>
                    </w:rPr>
                    <w:t>1、采取封闭等有效措施，生产工艺产尘点及车间不得有可见烟粉尘外逸；</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5"/>
                      <w:sz w:val="21"/>
                      <w:szCs w:val="21"/>
                    </w:rPr>
                    <w:t>2、除尘灰等粉状物料应封闭储存，采用密闭车厢等方式输</w:t>
                  </w:r>
                  <w:r>
                    <w:rPr>
                      <w:rFonts w:hint="default" w:ascii="Times New Roman" w:hAnsi="Times New Roman" w:cs="Times New Roman"/>
                      <w:color w:val="auto"/>
                      <w:spacing w:val="4"/>
                      <w:sz w:val="21"/>
                      <w:szCs w:val="21"/>
                    </w:rPr>
                    <w:t>送；</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6"/>
                      <w:sz w:val="21"/>
                      <w:szCs w:val="21"/>
                    </w:rPr>
                    <w:t>3、物料输送过程中产尘点应采取有效抑尘措施；</w:t>
                  </w:r>
                </w:p>
                <w:p>
                  <w:pPr>
                    <w:pStyle w:val="87"/>
                    <w:keepNext w:val="0"/>
                    <w:keepLines w:val="0"/>
                    <w:pageBreakBefore w:val="0"/>
                    <w:kinsoku/>
                    <w:wordWrap/>
                    <w:overflowPunct/>
                    <w:topLinePunct/>
                    <w:bidi w:val="0"/>
                    <w:adjustRightInd w:val="0"/>
                    <w:snapToGrid w:val="0"/>
                    <w:ind w:right="0" w:firstLine="0"/>
                    <w:jc w:val="both"/>
                    <w:rPr>
                      <w:rFonts w:hint="eastAsia" w:eastAsia="宋体"/>
                      <w:color w:val="auto"/>
                      <w:sz w:val="21"/>
                      <w:szCs w:val="21"/>
                      <w:lang w:eastAsia="zh-CN"/>
                    </w:rPr>
                  </w:pPr>
                  <w:r>
                    <w:rPr>
                      <w:rFonts w:hint="default" w:ascii="Times New Roman" w:hAnsi="Times New Roman" w:cs="Times New Roman"/>
                      <w:color w:val="auto"/>
                      <w:spacing w:val="-1"/>
                      <w:sz w:val="21"/>
                      <w:szCs w:val="21"/>
                    </w:rPr>
                    <w:t>4、生产工艺产尘点</w:t>
                  </w:r>
                  <w:r>
                    <w:rPr>
                      <w:rFonts w:hint="eastAsia" w:cs="Times New Roman"/>
                      <w:color w:val="auto"/>
                      <w:spacing w:val="-1"/>
                      <w:sz w:val="21"/>
                      <w:szCs w:val="21"/>
                      <w:lang w:eastAsia="zh-CN"/>
                    </w:rPr>
                    <w:t>（</w:t>
                  </w:r>
                  <w:r>
                    <w:rPr>
                      <w:rFonts w:hint="default" w:ascii="Times New Roman" w:hAnsi="Times New Roman" w:cs="Times New Roman"/>
                      <w:color w:val="auto"/>
                      <w:spacing w:val="-1"/>
                      <w:sz w:val="21"/>
                      <w:szCs w:val="21"/>
                    </w:rPr>
                    <w:t>装置</w:t>
                  </w:r>
                  <w:r>
                    <w:rPr>
                      <w:rFonts w:hint="eastAsia" w:cs="Times New Roman"/>
                      <w:color w:val="auto"/>
                      <w:spacing w:val="-1"/>
                      <w:sz w:val="21"/>
                      <w:szCs w:val="21"/>
                      <w:lang w:eastAsia="zh-CN"/>
                    </w:rPr>
                    <w:t>）</w:t>
                  </w:r>
                  <w:r>
                    <w:rPr>
                      <w:rFonts w:hint="default" w:ascii="Times New Roman" w:hAnsi="Times New Roman" w:cs="Times New Roman"/>
                      <w:color w:val="auto"/>
                      <w:spacing w:val="-1"/>
                      <w:sz w:val="21"/>
                      <w:szCs w:val="21"/>
                    </w:rPr>
                    <w:t>应封闭，并设置集气罩等措施</w:t>
                  </w:r>
                  <w:r>
                    <w:rPr>
                      <w:rFonts w:hint="eastAsia" w:ascii="Times New Roman" w:hAnsi="Times New Roman" w:cs="Times New Roman"/>
                      <w:color w:val="auto"/>
                      <w:spacing w:val="-1"/>
                      <w:sz w:val="21"/>
                      <w:szCs w:val="21"/>
                      <w:lang w:eastAsia="zh-CN"/>
                    </w:rPr>
                    <w:t>。</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rFonts w:hint="eastAsia"/>
                      <w:color w:val="auto"/>
                      <w:sz w:val="21"/>
                      <w:szCs w:val="21"/>
                      <w:lang w:val="en-US" w:eastAsia="zh-CN"/>
                    </w:rPr>
                  </w:pPr>
                  <w:r>
                    <w:rPr>
                      <w:rFonts w:hint="eastAsia"/>
                      <w:color w:val="auto"/>
                      <w:sz w:val="21"/>
                      <w:szCs w:val="21"/>
                      <w:lang w:val="en-US" w:eastAsia="zh-CN"/>
                    </w:rPr>
                    <w:t>1、非高压热压夹层机生产过程中密封抽真空，废气全部收集；回流焊在进出口物料处开口，其他全封闭，集气效率90%以上，周围无可见烟粉尘；人工补焊机设置移动式焊烟净化器，产生的废气经处理后无组织排放，周围无可见烟粉尘；</w:t>
                  </w:r>
                </w:p>
                <w:p>
                  <w:pPr>
                    <w:pStyle w:val="87"/>
                    <w:keepNext w:val="0"/>
                    <w:keepLines w:val="0"/>
                    <w:pageBreakBefore w:val="0"/>
                    <w:kinsoku/>
                    <w:wordWrap/>
                    <w:overflowPunct/>
                    <w:topLinePunct/>
                    <w:bidi w:val="0"/>
                    <w:adjustRightInd w:val="0"/>
                    <w:snapToGrid w:val="0"/>
                    <w:ind w:right="0" w:firstLine="0"/>
                    <w:jc w:val="both"/>
                    <w:rPr>
                      <w:rFonts w:hint="eastAsia"/>
                      <w:color w:val="auto"/>
                      <w:sz w:val="21"/>
                      <w:szCs w:val="21"/>
                      <w:lang w:val="en-US" w:eastAsia="zh-CN"/>
                    </w:rPr>
                  </w:pPr>
                  <w:r>
                    <w:rPr>
                      <w:rFonts w:hint="eastAsia"/>
                      <w:color w:val="auto"/>
                      <w:sz w:val="21"/>
                      <w:szCs w:val="21"/>
                      <w:lang w:val="en-US" w:eastAsia="zh-CN"/>
                    </w:rPr>
                    <w:t>2、本项目颗粒物经3M过滤棉处理，颗粒物吸附在过滤棉上，按危废处置，暂存在危废暂存库内，采用密闭车厢运输；</w:t>
                  </w:r>
                </w:p>
                <w:p>
                  <w:pPr>
                    <w:pStyle w:val="87"/>
                    <w:keepNext w:val="0"/>
                    <w:keepLines w:val="0"/>
                    <w:pageBreakBefore w:val="0"/>
                    <w:kinsoku/>
                    <w:wordWrap/>
                    <w:overflowPunct/>
                    <w:topLinePunct/>
                    <w:bidi w:val="0"/>
                    <w:adjustRightInd w:val="0"/>
                    <w:snapToGrid w:val="0"/>
                    <w:ind w:right="0" w:firstLine="0"/>
                    <w:jc w:val="both"/>
                    <w:rPr>
                      <w:rFonts w:hint="eastAsia"/>
                      <w:color w:val="auto"/>
                      <w:sz w:val="21"/>
                      <w:szCs w:val="21"/>
                      <w:lang w:val="en-US" w:eastAsia="zh-CN"/>
                    </w:rPr>
                  </w:pPr>
                  <w:r>
                    <w:rPr>
                      <w:rFonts w:hint="eastAsia"/>
                      <w:color w:val="auto"/>
                      <w:sz w:val="21"/>
                      <w:szCs w:val="21"/>
                      <w:lang w:val="en-US" w:eastAsia="zh-CN"/>
                    </w:rPr>
                    <w:t>3、本项目物料输送无产尘；</w:t>
                  </w:r>
                </w:p>
                <w:p>
                  <w:pPr>
                    <w:pStyle w:val="87"/>
                    <w:keepNext w:val="0"/>
                    <w:keepLines w:val="0"/>
                    <w:pageBreakBefore w:val="0"/>
                    <w:kinsoku/>
                    <w:wordWrap/>
                    <w:overflowPunct/>
                    <w:topLinePunct/>
                    <w:bidi w:val="0"/>
                    <w:adjustRightInd w:val="0"/>
                    <w:snapToGrid w:val="0"/>
                    <w:ind w:right="0" w:firstLine="0"/>
                    <w:jc w:val="both"/>
                    <w:rPr>
                      <w:rFonts w:hint="default"/>
                      <w:color w:val="auto"/>
                      <w:sz w:val="21"/>
                      <w:szCs w:val="21"/>
                      <w:lang w:val="en-US" w:eastAsia="zh-CN"/>
                    </w:rPr>
                  </w:pPr>
                  <w:r>
                    <w:rPr>
                      <w:rFonts w:hint="eastAsia"/>
                      <w:color w:val="auto"/>
                      <w:sz w:val="21"/>
                      <w:szCs w:val="21"/>
                      <w:lang w:val="en-US" w:eastAsia="zh-CN"/>
                    </w:rPr>
                    <w:t>4、非高压热压夹层机生产过程中密封抽真空，废气全部收集；回流焊在进出口物料处开口，其他全封闭，集气效率90%以上，周围无可见烟粉尘；人工补焊机设置移动式焊烟净化器，产生的废气经处理后无组织排放，周围无可见烟粉尘。</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环境管理水平</w:t>
                  </w:r>
                </w:p>
              </w:tc>
              <w:tc>
                <w:tcPr>
                  <w:tcW w:w="2951" w:type="dxa"/>
                  <w:tcBorders>
                    <w:tl2br w:val="nil"/>
                    <w:tr2bl w:val="nil"/>
                  </w:tcBorders>
                  <w:shd w:val="clear" w:color="auto" w:fill="auto"/>
                  <w:vAlign w:val="center"/>
                </w:tcPr>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环保档案齐全：1、环评批复文件；2、竣工验收文件；3、一年内第三方废气检测报告；</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台账记录：1、完整生产管理台账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包括生产设备运行台账，原辅材料、燃料使用量，产品产量等</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;2、运输管理电子台账</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包括车辆出入厂记录、车牌号、VIN号、发动机编号和排放阶段等</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;3、设备维护记录；4、废气治理设备清单及记录</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rPr>
                    <w:t>包括主要污染治理设备、运行记</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2"/>
                      <w:sz w:val="21"/>
                      <w:szCs w:val="21"/>
                    </w:rPr>
                    <w:t>录等</w:t>
                  </w:r>
                  <w:r>
                    <w:rPr>
                      <w:rFonts w:hint="eastAsia" w:ascii="Times New Roman" w:hAnsi="Times New Roman" w:cs="Times New Roman"/>
                      <w:color w:val="auto"/>
                      <w:spacing w:val="2"/>
                      <w:sz w:val="21"/>
                      <w:szCs w:val="21"/>
                      <w:lang w:eastAsia="zh-CN"/>
                    </w:rPr>
                    <w:t>）</w:t>
                  </w:r>
                  <w:r>
                    <w:rPr>
                      <w:rFonts w:hint="default" w:ascii="Times New Roman" w:hAnsi="Times New Roman" w:cs="Times New Roman"/>
                      <w:color w:val="auto"/>
                      <w:spacing w:val="2"/>
                      <w:sz w:val="21"/>
                      <w:szCs w:val="21"/>
                    </w:rPr>
                    <w:t>;5、耗材清单</w:t>
                  </w:r>
                  <w:r>
                    <w:rPr>
                      <w:rFonts w:hint="eastAsia" w:ascii="Times New Roman" w:hAnsi="Times New Roman" w:cs="Times New Roman"/>
                      <w:color w:val="auto"/>
                      <w:spacing w:val="2"/>
                      <w:sz w:val="21"/>
                      <w:szCs w:val="21"/>
                      <w:lang w:eastAsia="zh-CN"/>
                    </w:rPr>
                    <w:t>（</w:t>
                  </w:r>
                  <w:r>
                    <w:rPr>
                      <w:rFonts w:hint="default" w:ascii="Times New Roman" w:hAnsi="Times New Roman" w:cs="Times New Roman"/>
                      <w:color w:val="auto"/>
                      <w:spacing w:val="2"/>
                      <w:sz w:val="21"/>
                      <w:szCs w:val="21"/>
                    </w:rPr>
                    <w:t>除尘器等滤料更换记录</w:t>
                  </w:r>
                  <w:r>
                    <w:rPr>
                      <w:rFonts w:hint="eastAsia" w:ascii="Times New Roman" w:hAnsi="Times New Roman" w:cs="Times New Roman"/>
                      <w:color w:val="auto"/>
                      <w:spacing w:val="2"/>
                      <w:sz w:val="21"/>
                      <w:szCs w:val="21"/>
                      <w:lang w:eastAsia="zh-CN"/>
                    </w:rPr>
                    <w:t>）</w:t>
                  </w:r>
                  <w:r>
                    <w:rPr>
                      <w:rFonts w:hint="default" w:ascii="Times New Roman" w:hAnsi="Times New Roman" w:cs="Times New Roman"/>
                      <w:color w:val="auto"/>
                      <w:spacing w:val="2"/>
                      <w:sz w:val="21"/>
                      <w:szCs w:val="21"/>
                    </w:rPr>
                    <w:t>;</w:t>
                  </w:r>
                </w:p>
                <w:p>
                  <w:pPr>
                    <w:pStyle w:val="87"/>
                    <w:keepNext w:val="0"/>
                    <w:keepLines w:val="0"/>
                    <w:pageBreakBefore w:val="0"/>
                    <w:kinsoku/>
                    <w:wordWrap/>
                    <w:overflowPunct/>
                    <w:topLinePunct/>
                    <w:bidi w:val="0"/>
                    <w:adjustRightInd w:val="0"/>
                    <w:snapToGrid w:val="0"/>
                    <w:ind w:right="0" w:firstLine="0"/>
                    <w:jc w:val="both"/>
                    <w:rPr>
                      <w:rFonts w:hint="eastAsia" w:eastAsia="宋体"/>
                      <w:color w:val="auto"/>
                      <w:sz w:val="21"/>
                      <w:szCs w:val="21"/>
                      <w:lang w:eastAsia="zh-CN"/>
                    </w:rPr>
                  </w:pPr>
                  <w:r>
                    <w:rPr>
                      <w:rFonts w:hint="default" w:ascii="Times New Roman" w:hAnsi="Times New Roman" w:cs="Times New Roman"/>
                      <w:color w:val="auto"/>
                      <w:sz w:val="21"/>
                      <w:szCs w:val="21"/>
                    </w:rPr>
                    <w:t>管理制度健全：1、专兼职环保人员；2、废气治理设施运行管理规程</w:t>
                  </w:r>
                  <w:r>
                    <w:rPr>
                      <w:rFonts w:hint="eastAsia" w:ascii="Times New Roman" w:hAnsi="Times New Roman" w:cs="Times New Roman"/>
                      <w:color w:val="auto"/>
                      <w:sz w:val="21"/>
                      <w:szCs w:val="21"/>
                      <w:lang w:eastAsia="zh-CN"/>
                    </w:rPr>
                    <w:t>。</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rFonts w:hint="default" w:eastAsia="宋体"/>
                      <w:color w:val="auto"/>
                      <w:sz w:val="21"/>
                      <w:szCs w:val="21"/>
                      <w:lang w:val="en-US" w:eastAsia="zh-CN"/>
                    </w:rPr>
                  </w:pPr>
                  <w:r>
                    <w:rPr>
                      <w:rFonts w:hint="eastAsia"/>
                      <w:color w:val="auto"/>
                      <w:sz w:val="21"/>
                      <w:szCs w:val="21"/>
                    </w:rPr>
                    <w:t>企业将设置环保部门，配备专职环保人员，并具备相应的环境管理能力。</w:t>
                  </w:r>
                  <w:r>
                    <w:rPr>
                      <w:rFonts w:hint="eastAsia"/>
                      <w:color w:val="auto"/>
                      <w:sz w:val="21"/>
                      <w:szCs w:val="21"/>
                      <w:lang w:val="en-US" w:eastAsia="zh-CN"/>
                    </w:rPr>
                    <w:t>环评要求企业按要求保存环保档案、台账记录、设置相应的环保管理制度，作为验收的依据</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运输</w:t>
                  </w:r>
                </w:p>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方式</w:t>
                  </w:r>
                </w:p>
              </w:tc>
              <w:tc>
                <w:tcPr>
                  <w:tcW w:w="2951" w:type="dxa"/>
                  <w:tcBorders>
                    <w:tl2br w:val="nil"/>
                    <w:tr2bl w:val="nil"/>
                  </w:tcBorders>
                  <w:shd w:val="clear" w:color="auto" w:fill="auto"/>
                  <w:vAlign w:val="center"/>
                </w:tcPr>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3"/>
                      <w:sz w:val="21"/>
                      <w:szCs w:val="21"/>
                    </w:rPr>
                    <w:t>1、物料公路运输全部使用达到国五及以上排放标准重型载货车辆</w:t>
                  </w:r>
                  <w:r>
                    <w:rPr>
                      <w:rFonts w:hint="eastAsia" w:ascii="Times New Roman" w:hAnsi="Times New Roman" w:cs="Times New Roman"/>
                      <w:color w:val="auto"/>
                      <w:spacing w:val="3"/>
                      <w:sz w:val="21"/>
                      <w:szCs w:val="21"/>
                      <w:lang w:eastAsia="zh-CN"/>
                    </w:rPr>
                    <w:t>（</w:t>
                  </w:r>
                  <w:r>
                    <w:rPr>
                      <w:rFonts w:hint="default" w:ascii="Times New Roman" w:hAnsi="Times New Roman" w:cs="Times New Roman"/>
                      <w:color w:val="auto"/>
                      <w:spacing w:val="3"/>
                      <w:sz w:val="21"/>
                      <w:szCs w:val="21"/>
                    </w:rPr>
                    <w:t>含燃气</w:t>
                  </w:r>
                  <w:r>
                    <w:rPr>
                      <w:rFonts w:hint="eastAsia" w:ascii="Times New Roman" w:hAnsi="Times New Roman" w:cs="Times New Roman"/>
                      <w:color w:val="auto"/>
                      <w:spacing w:val="3"/>
                      <w:sz w:val="21"/>
                      <w:szCs w:val="21"/>
                      <w:lang w:eastAsia="zh-CN"/>
                    </w:rPr>
                    <w:t>）</w:t>
                  </w:r>
                  <w:r>
                    <w:rPr>
                      <w:rFonts w:hint="default" w:ascii="Times New Roman" w:hAnsi="Times New Roman" w:cs="Times New Roman"/>
                      <w:color w:val="auto"/>
                      <w:spacing w:val="3"/>
                      <w:sz w:val="21"/>
                      <w:szCs w:val="21"/>
                    </w:rPr>
                    <w:t>或新能源车辆；</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2、厂内运输车辆全部达到国五及以上排放标准</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含燃气</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或使用新能源车</w:t>
                  </w:r>
                  <w:r>
                    <w:rPr>
                      <w:rFonts w:hint="default" w:ascii="Times New Roman" w:hAnsi="Times New Roman" w:cs="Times New Roman"/>
                      <w:color w:val="auto"/>
                      <w:spacing w:val="3"/>
                      <w:sz w:val="21"/>
                      <w:szCs w:val="21"/>
                    </w:rPr>
                    <w:t>辆；</w:t>
                  </w:r>
                </w:p>
                <w:p>
                  <w:pPr>
                    <w:pStyle w:val="87"/>
                    <w:keepNext w:val="0"/>
                    <w:keepLines w:val="0"/>
                    <w:pageBreakBefore w:val="0"/>
                    <w:kinsoku/>
                    <w:wordWrap/>
                    <w:overflowPunct/>
                    <w:topLinePunct/>
                    <w:bidi w:val="0"/>
                    <w:adjustRightInd w:val="0"/>
                    <w:snapToGrid w:val="0"/>
                    <w:ind w:right="0" w:firstLine="0"/>
                    <w:jc w:val="both"/>
                    <w:rPr>
                      <w:color w:val="auto"/>
                      <w:sz w:val="21"/>
                      <w:szCs w:val="21"/>
                    </w:rPr>
                  </w:pPr>
                  <w:r>
                    <w:rPr>
                      <w:rFonts w:hint="default" w:ascii="Times New Roman" w:hAnsi="Times New Roman" w:cs="Times New Roman"/>
                      <w:color w:val="auto"/>
                      <w:sz w:val="21"/>
                      <w:szCs w:val="21"/>
                    </w:rPr>
                    <w:t>3、厂内非道路移动机械全部达到国三及以上排放标准或使用新能源机械</w:t>
                  </w:r>
                </w:p>
              </w:tc>
              <w:tc>
                <w:tcPr>
                  <w:tcW w:w="3288" w:type="dxa"/>
                  <w:tcBorders>
                    <w:tl2br w:val="nil"/>
                    <w:tr2bl w:val="nil"/>
                  </w:tcBorders>
                  <w:shd w:val="clear" w:color="auto" w:fill="auto"/>
                  <w:vAlign w:val="center"/>
                </w:tcPr>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eastAsia"/>
                      <w:color w:val="auto"/>
                      <w:sz w:val="21"/>
                      <w:szCs w:val="21"/>
                      <w:lang w:val="en-US" w:eastAsia="zh-CN"/>
                    </w:rPr>
                    <w:t>1、运输车辆</w:t>
                  </w:r>
                  <w:r>
                    <w:rPr>
                      <w:rFonts w:hint="default" w:ascii="Times New Roman" w:hAnsi="Times New Roman" w:cs="Times New Roman"/>
                      <w:color w:val="auto"/>
                      <w:spacing w:val="3"/>
                      <w:sz w:val="21"/>
                      <w:szCs w:val="21"/>
                    </w:rPr>
                    <w:t>全部使用达到国五及以上排放标准重型载货车辆</w:t>
                  </w:r>
                  <w:r>
                    <w:rPr>
                      <w:rFonts w:hint="eastAsia" w:ascii="Times New Roman" w:hAnsi="Times New Roman" w:cs="Times New Roman"/>
                      <w:color w:val="auto"/>
                      <w:spacing w:val="3"/>
                      <w:sz w:val="21"/>
                      <w:szCs w:val="21"/>
                      <w:lang w:eastAsia="zh-CN"/>
                    </w:rPr>
                    <w:t>（</w:t>
                  </w:r>
                  <w:r>
                    <w:rPr>
                      <w:rFonts w:hint="default" w:ascii="Times New Roman" w:hAnsi="Times New Roman" w:cs="Times New Roman"/>
                      <w:color w:val="auto"/>
                      <w:spacing w:val="3"/>
                      <w:sz w:val="21"/>
                      <w:szCs w:val="21"/>
                    </w:rPr>
                    <w:t>含燃气</w:t>
                  </w:r>
                  <w:r>
                    <w:rPr>
                      <w:rFonts w:hint="eastAsia" w:ascii="Times New Roman" w:hAnsi="Times New Roman" w:cs="Times New Roman"/>
                      <w:color w:val="auto"/>
                      <w:spacing w:val="3"/>
                      <w:sz w:val="21"/>
                      <w:szCs w:val="21"/>
                      <w:lang w:eastAsia="zh-CN"/>
                    </w:rPr>
                    <w:t>）</w:t>
                  </w:r>
                  <w:r>
                    <w:rPr>
                      <w:rFonts w:hint="default" w:ascii="Times New Roman" w:hAnsi="Times New Roman" w:cs="Times New Roman"/>
                      <w:color w:val="auto"/>
                      <w:spacing w:val="3"/>
                      <w:sz w:val="21"/>
                      <w:szCs w:val="21"/>
                    </w:rPr>
                    <w:t>或新能源车辆；</w:t>
                  </w:r>
                </w:p>
                <w:p>
                  <w:pPr>
                    <w:pStyle w:val="105"/>
                    <w:keepNext w:val="0"/>
                    <w:keepLines w:val="0"/>
                    <w:pageBreakBefore w:val="0"/>
                    <w:widowControl/>
                    <w:kinsoku/>
                    <w:wordWrap/>
                    <w:overflowPunct/>
                    <w:topLinePunct/>
                    <w:autoSpaceDE w:val="0"/>
                    <w:autoSpaceDN w:val="0"/>
                    <w:bidi w:val="0"/>
                    <w:adjustRightInd w:val="0"/>
                    <w:snapToGrid w:val="0"/>
                    <w:spacing w:line="240" w:lineRule="auto"/>
                    <w:ind w:left="0" w:right="0" w:firstLine="0"/>
                    <w:jc w:val="both"/>
                    <w:textAlignment w:val="baseline"/>
                    <w:rPr>
                      <w:rFonts w:hint="default" w:ascii="Times New Roman" w:hAnsi="Times New Roman" w:cs="Times New Roman"/>
                      <w:color w:val="auto"/>
                      <w:sz w:val="21"/>
                      <w:szCs w:val="21"/>
                    </w:rPr>
                  </w:pPr>
                  <w:r>
                    <w:rPr>
                      <w:rFonts w:hint="default" w:ascii="Times New Roman" w:hAnsi="Times New Roman" w:cs="Times New Roman"/>
                      <w:color w:val="auto"/>
                      <w:spacing w:val="4"/>
                      <w:sz w:val="21"/>
                      <w:szCs w:val="21"/>
                    </w:rPr>
                    <w:t>2、厂内运输车辆全部达到国五及以上排放标准</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含燃气</w:t>
                  </w:r>
                  <w:r>
                    <w:rPr>
                      <w:rFonts w:hint="eastAsia" w:ascii="Times New Roman" w:hAnsi="Times New Roman" w:cs="Times New Roman"/>
                      <w:color w:val="auto"/>
                      <w:spacing w:val="4"/>
                      <w:sz w:val="21"/>
                      <w:szCs w:val="21"/>
                      <w:lang w:eastAsia="zh-CN"/>
                    </w:rPr>
                    <w:t>）</w:t>
                  </w:r>
                  <w:r>
                    <w:rPr>
                      <w:rFonts w:hint="default" w:ascii="Times New Roman" w:hAnsi="Times New Roman" w:cs="Times New Roman"/>
                      <w:color w:val="auto"/>
                      <w:spacing w:val="4"/>
                      <w:sz w:val="21"/>
                      <w:szCs w:val="21"/>
                    </w:rPr>
                    <w:t>或使用新能源车</w:t>
                  </w:r>
                  <w:r>
                    <w:rPr>
                      <w:rFonts w:hint="default" w:ascii="Times New Roman" w:hAnsi="Times New Roman" w:cs="Times New Roman"/>
                      <w:color w:val="auto"/>
                      <w:spacing w:val="3"/>
                      <w:sz w:val="21"/>
                      <w:szCs w:val="21"/>
                    </w:rPr>
                    <w:t>辆；</w:t>
                  </w:r>
                </w:p>
                <w:p>
                  <w:pPr>
                    <w:pStyle w:val="87"/>
                    <w:keepNext w:val="0"/>
                    <w:keepLines w:val="0"/>
                    <w:pageBreakBefore w:val="0"/>
                    <w:kinsoku/>
                    <w:wordWrap/>
                    <w:overflowPunct/>
                    <w:topLinePunct/>
                    <w:bidi w:val="0"/>
                    <w:adjustRightInd w:val="0"/>
                    <w:snapToGrid w:val="0"/>
                    <w:ind w:right="0" w:firstLine="0"/>
                    <w:jc w:val="both"/>
                    <w:rPr>
                      <w:rFonts w:hint="default" w:eastAsia="宋体"/>
                      <w:color w:val="auto"/>
                      <w:sz w:val="21"/>
                      <w:szCs w:val="21"/>
                      <w:lang w:val="en-US" w:eastAsia="zh-CN"/>
                    </w:rPr>
                  </w:pPr>
                  <w:r>
                    <w:rPr>
                      <w:rFonts w:hint="default" w:ascii="Times New Roman" w:hAnsi="Times New Roman" w:cs="Times New Roman"/>
                      <w:color w:val="auto"/>
                      <w:sz w:val="21"/>
                      <w:szCs w:val="21"/>
                    </w:rPr>
                    <w:t>3、厂内非道路移动机械全部达到国三及以上排放标准或使用新能源机械</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834"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运输</w:t>
                  </w:r>
                </w:p>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监管</w:t>
                  </w:r>
                </w:p>
              </w:tc>
              <w:tc>
                <w:tcPr>
                  <w:tcW w:w="2951"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color w:val="auto"/>
                      <w:sz w:val="21"/>
                      <w:szCs w:val="21"/>
                    </w:rPr>
                  </w:pPr>
                  <w:r>
                    <w:rPr>
                      <w:rFonts w:hint="default" w:ascii="Times New Roman" w:hAnsi="Times New Roman" w:cs="Times New Roman"/>
                      <w:color w:val="auto"/>
                      <w:sz w:val="21"/>
                      <w:szCs w:val="21"/>
                    </w:rPr>
                    <w:t>参照《重污染天气重点行业移动源应急管理技术指南》建立门禁系统和电子台账</w:t>
                  </w:r>
                  <w:r>
                    <w:rPr>
                      <w:rFonts w:hint="eastAsia"/>
                      <w:color w:val="auto"/>
                      <w:sz w:val="21"/>
                      <w:szCs w:val="21"/>
                    </w:rPr>
                    <w:t>。</w:t>
                  </w:r>
                </w:p>
              </w:tc>
              <w:tc>
                <w:tcPr>
                  <w:tcW w:w="3288"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both"/>
                    <w:rPr>
                      <w:color w:val="auto"/>
                      <w:sz w:val="21"/>
                      <w:szCs w:val="21"/>
                    </w:rPr>
                  </w:pPr>
                  <w:r>
                    <w:rPr>
                      <w:rFonts w:hint="eastAsia"/>
                      <w:color w:val="auto"/>
                      <w:sz w:val="21"/>
                      <w:szCs w:val="21"/>
                    </w:rPr>
                    <w:t>配备门禁和视频监控系统1套，记录运输车辆电子台账，</w:t>
                  </w:r>
                  <w:r>
                    <w:rPr>
                      <w:color w:val="auto"/>
                      <w:sz w:val="21"/>
                      <w:szCs w:val="21"/>
                    </w:rPr>
                    <w:t>视频监控、台账数据保存三个月以上</w:t>
                  </w:r>
                  <w:r>
                    <w:rPr>
                      <w:rFonts w:hint="eastAsia"/>
                      <w:color w:val="auto"/>
                      <w:sz w:val="21"/>
                      <w:szCs w:val="21"/>
                    </w:rPr>
                    <w:t>。</w:t>
                  </w:r>
                </w:p>
              </w:tc>
              <w:tc>
                <w:tcPr>
                  <w:tcW w:w="906" w:type="dxa"/>
                  <w:tcBorders>
                    <w:tl2br w:val="nil"/>
                    <w:tr2bl w:val="nil"/>
                  </w:tcBorders>
                  <w:shd w:val="clear" w:color="auto" w:fill="auto"/>
                  <w:vAlign w:val="center"/>
                </w:tcPr>
                <w:p>
                  <w:pPr>
                    <w:pStyle w:val="87"/>
                    <w:keepNext w:val="0"/>
                    <w:keepLines w:val="0"/>
                    <w:pageBreakBefore w:val="0"/>
                    <w:kinsoku/>
                    <w:wordWrap/>
                    <w:overflowPunct/>
                    <w:topLinePunct/>
                    <w:bidi w:val="0"/>
                    <w:adjustRightInd w:val="0"/>
                    <w:snapToGrid w:val="0"/>
                    <w:ind w:right="0" w:firstLine="0"/>
                    <w:jc w:val="center"/>
                    <w:rPr>
                      <w:color w:val="auto"/>
                      <w:sz w:val="21"/>
                      <w:szCs w:val="21"/>
                    </w:rPr>
                  </w:pPr>
                  <w:r>
                    <w:rPr>
                      <w:rFonts w:hint="eastAsia"/>
                      <w:color w:val="auto"/>
                      <w:sz w:val="21"/>
                      <w:szCs w:val="21"/>
                    </w:rPr>
                    <w:t>符合</w:t>
                  </w:r>
                </w:p>
              </w:tc>
            </w:tr>
          </w:tbl>
          <w:p>
            <w:pPr>
              <w:pageBreakBefore/>
              <w:numPr>
                <w:ilvl w:val="0"/>
                <w:numId w:val="1"/>
              </w:numPr>
              <w:spacing w:before="120" w:beforeLines="50" w:line="360" w:lineRule="auto"/>
              <w:ind w:firstLine="482" w:firstLineChars="200"/>
              <w:jc w:val="left"/>
              <w:rPr>
                <w:b/>
                <w:color w:val="auto"/>
                <w:sz w:val="24"/>
              </w:rPr>
            </w:pPr>
            <w:r>
              <w:rPr>
                <w:b/>
                <w:color w:val="auto"/>
                <w:sz w:val="24"/>
              </w:rPr>
              <w:t>选址符合性分析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①位置及交通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项目位于</w:t>
            </w:r>
            <w:r>
              <w:rPr>
                <w:rFonts w:hint="eastAsia"/>
                <w:color w:val="auto"/>
                <w:sz w:val="24"/>
              </w:rPr>
              <w:t>陕西省西咸新区泾河新城</w:t>
            </w:r>
            <w:r>
              <w:rPr>
                <w:rFonts w:hint="eastAsia"/>
                <w:color w:val="auto"/>
                <w:sz w:val="24"/>
                <w:lang w:val="en-US" w:eastAsia="zh-CN"/>
              </w:rPr>
              <w:t>秦创原（泾河）智造创新产业园一期16号厂房</w:t>
            </w:r>
            <w:r>
              <w:rPr>
                <w:color w:val="auto"/>
                <w:sz w:val="24"/>
                <w:szCs w:val="32"/>
              </w:rPr>
              <w:t>，</w:t>
            </w:r>
            <w:r>
              <w:rPr>
                <w:rFonts w:hint="eastAsia"/>
                <w:color w:val="auto"/>
                <w:sz w:val="24"/>
                <w:szCs w:val="32"/>
                <w:lang w:eastAsia="zh-CN"/>
              </w:rPr>
              <w:t>南侧为空地及临时营地</w:t>
            </w:r>
            <w:r>
              <w:rPr>
                <w:color w:val="auto"/>
                <w:sz w:val="24"/>
                <w:szCs w:val="32"/>
              </w:rPr>
              <w:t>，西侧</w:t>
            </w:r>
            <w:r>
              <w:rPr>
                <w:rFonts w:hint="eastAsia"/>
                <w:color w:val="auto"/>
                <w:sz w:val="24"/>
                <w:szCs w:val="32"/>
                <w:lang w:eastAsia="zh-CN"/>
              </w:rPr>
              <w:t>、</w:t>
            </w:r>
            <w:r>
              <w:rPr>
                <w:rFonts w:hint="eastAsia"/>
                <w:color w:val="auto"/>
                <w:sz w:val="24"/>
                <w:szCs w:val="32"/>
                <w:lang w:val="en-US" w:eastAsia="zh-CN"/>
              </w:rPr>
              <w:t>北侧、东侧均为园区厂房，</w:t>
            </w:r>
            <w:r>
              <w:rPr>
                <w:color w:val="auto"/>
                <w:sz w:val="24"/>
                <w:szCs w:val="32"/>
              </w:rPr>
              <w:t>交通便利。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32"/>
                <w:lang w:val="en-US" w:eastAsia="zh-CN"/>
              </w:rPr>
            </w:pPr>
            <w:r>
              <w:rPr>
                <w:rFonts w:hint="eastAsia"/>
                <w:color w:val="auto"/>
                <w:sz w:val="24"/>
                <w:szCs w:val="32"/>
                <w:lang w:val="en-US" w:eastAsia="zh-CN"/>
              </w:rPr>
              <w:t>根据《建设工程规划许可证》（西咸规建字第05-2020-084号），本项目用地属于西咸新区泾河新城产业园区发展有限公司。根据《西咸新区-泾河新城分区规划修编（2016年~2035年）》，项目区域用地性质为二类工业用地，本项目建设单位已与西咸新区泾河新城产业园区发展有限公司签订秦创原（泾河）智造创新产业园厂房租赁协议，用地文件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②基础设施条件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经调查，项目所在地供水、供电管网已铺设到位，项目运营期依托市政供水、供电设施，可满足生产及生活需要。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③环境敏感性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32"/>
                <w:lang w:val="en-US" w:eastAsia="zh-CN"/>
              </w:rPr>
            </w:pPr>
            <w:r>
              <w:rPr>
                <w:rFonts w:hint="eastAsia"/>
                <w:color w:val="auto"/>
                <w:sz w:val="24"/>
                <w:szCs w:val="32"/>
                <w:lang w:val="en-US" w:eastAsia="zh-CN"/>
              </w:rPr>
              <w:t>根据现场调查，</w:t>
            </w:r>
            <w:r>
              <w:rPr>
                <w:color w:val="auto"/>
                <w:sz w:val="24"/>
                <w:szCs w:val="32"/>
              </w:rPr>
              <w:t>本项目</w:t>
            </w:r>
            <w:r>
              <w:rPr>
                <w:rFonts w:hint="eastAsia"/>
                <w:color w:val="auto"/>
                <w:sz w:val="24"/>
                <w:szCs w:val="32"/>
                <w:lang w:val="en-US" w:eastAsia="zh-CN"/>
              </w:rPr>
              <w:t>租赁</w:t>
            </w:r>
            <w:r>
              <w:rPr>
                <w:rFonts w:hint="eastAsia"/>
                <w:color w:val="auto"/>
                <w:sz w:val="24"/>
                <w:lang w:val="en-US" w:eastAsia="zh-CN"/>
              </w:rPr>
              <w:t>秦创原（泾河）智造创新产业园一期16号厂房</w:t>
            </w:r>
            <w:r>
              <w:rPr>
                <w:color w:val="auto"/>
                <w:sz w:val="24"/>
                <w:szCs w:val="32"/>
              </w:rPr>
              <w:t>，不新增用地。所选场址及周围无自然保护区、风景名胜区、生态保护区、集中式的饮用水水源地等环境敏感区。</w:t>
            </w:r>
            <w:r>
              <w:rPr>
                <w:rFonts w:hint="eastAsia"/>
                <w:color w:val="auto"/>
                <w:sz w:val="24"/>
                <w:szCs w:val="32"/>
                <w:lang w:val="en-US" w:eastAsia="zh-CN"/>
              </w:rPr>
              <w:t>本项目产生的有机废气及颗粒物经处理后达标排放，设备均安置在室内，经隔声后厂界外均达标排放，因此本项目的建设对外影响较小。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④污染物达标排放的可达性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lang w:eastAsia="zh-CN"/>
              </w:rPr>
            </w:pPr>
            <w:r>
              <w:rPr>
                <w:color w:val="auto"/>
                <w:sz w:val="24"/>
                <w:szCs w:val="24"/>
              </w:rPr>
              <w:t>本项目生活污水</w:t>
            </w:r>
            <w:r>
              <w:rPr>
                <w:rFonts w:hint="eastAsia"/>
                <w:color w:val="auto"/>
                <w:sz w:val="24"/>
                <w:szCs w:val="24"/>
                <w:lang w:val="en-US" w:eastAsia="zh-CN"/>
              </w:rPr>
              <w:t>依托园区化粪池处理后</w:t>
            </w:r>
            <w:r>
              <w:rPr>
                <w:color w:val="auto"/>
                <w:sz w:val="24"/>
                <w:szCs w:val="24"/>
              </w:rPr>
              <w:t>经市政管网排至泾河新城第二污水处理厂进行处理</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生产车间回流焊产生的颗粒物和非甲烷总烃、非高压热压夹层机产生的非甲烷总烃等废气经收集后通过过滤棉+二级活性炭处理达标后再经排气筒（DA001）排放。单晶硅片串焊机和人工返修补焊采用人工补焊的方式，废气经移动式焊烟净化器处理后无组织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32"/>
                <w:lang w:eastAsia="zh-CN"/>
              </w:rPr>
            </w:pPr>
            <w:r>
              <w:rPr>
                <w:color w:val="auto"/>
                <w:sz w:val="24"/>
                <w:szCs w:val="32"/>
              </w:rPr>
              <w:t>项目选取低噪声型设备，采取厂房隔声、设置基础减振等</w:t>
            </w:r>
            <w:r>
              <w:rPr>
                <w:rFonts w:hint="eastAsia"/>
                <w:color w:val="auto"/>
                <w:sz w:val="24"/>
                <w:szCs w:val="32"/>
                <w:lang w:val="en-US" w:eastAsia="zh-CN"/>
              </w:rPr>
              <w:t>一系列</w:t>
            </w:r>
            <w:r>
              <w:rPr>
                <w:color w:val="auto"/>
                <w:sz w:val="24"/>
                <w:szCs w:val="32"/>
              </w:rPr>
              <w:t>降噪措施，并进行定期维护</w:t>
            </w:r>
            <w:r>
              <w:rPr>
                <w:rFonts w:hint="eastAsia"/>
                <w:color w:val="auto"/>
                <w:sz w:val="24"/>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Style w:val="113"/>
                <w:rFonts w:hint="eastAsia" w:hAnsi="Times New Roman"/>
                <w:i w:val="0"/>
                <w:iCs w:val="0"/>
                <w:color w:val="auto"/>
                <w:sz w:val="24"/>
                <w:szCs w:val="24"/>
                <w:highlight w:val="none"/>
              </w:rPr>
              <w:t>生活垃圾分类收集定期由环卫部门清运；一般工业固废收集后外售综合利用；危险废物分类收集，暂存危险废物暂存</w:t>
            </w:r>
            <w:r>
              <w:rPr>
                <w:rStyle w:val="113"/>
                <w:rFonts w:hint="eastAsia" w:hAnsi="Times New Roman"/>
                <w:i w:val="0"/>
                <w:iCs w:val="0"/>
                <w:color w:val="auto"/>
                <w:sz w:val="24"/>
                <w:szCs w:val="24"/>
                <w:highlight w:val="none"/>
                <w:lang w:val="en-US" w:eastAsia="zh-CN"/>
              </w:rPr>
              <w:t>库</w:t>
            </w:r>
            <w:r>
              <w:rPr>
                <w:rStyle w:val="113"/>
                <w:rFonts w:hint="eastAsia" w:hAnsi="Times New Roman"/>
                <w:i w:val="0"/>
                <w:iCs w:val="0"/>
                <w:color w:val="auto"/>
                <w:sz w:val="24"/>
                <w:szCs w:val="24"/>
                <w:highlight w:val="none"/>
              </w:rPr>
              <w:t>，定期交由有危废处理资质单位回收处理</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color w:val="auto"/>
                <w:sz w:val="24"/>
                <w:szCs w:val="32"/>
              </w:rPr>
              <w:t>综上，在采取相应环保措施后，本项目产生的</w:t>
            </w:r>
            <w:r>
              <w:rPr>
                <w:rFonts w:hint="eastAsia"/>
                <w:color w:val="auto"/>
                <w:sz w:val="24"/>
                <w:szCs w:val="32"/>
                <w:lang w:val="en-US" w:eastAsia="zh-CN"/>
              </w:rPr>
              <w:t>废气、噪声</w:t>
            </w:r>
            <w:r>
              <w:rPr>
                <w:color w:val="auto"/>
                <w:sz w:val="24"/>
                <w:szCs w:val="32"/>
              </w:rPr>
              <w:t>均可达标排放</w:t>
            </w:r>
            <w:r>
              <w:rPr>
                <w:rFonts w:hint="eastAsia"/>
                <w:color w:val="auto"/>
                <w:sz w:val="24"/>
                <w:szCs w:val="32"/>
                <w:lang w:eastAsia="zh-CN"/>
              </w:rPr>
              <w:t>；</w:t>
            </w:r>
            <w:r>
              <w:rPr>
                <w:rFonts w:hint="eastAsia"/>
                <w:color w:val="auto"/>
                <w:sz w:val="24"/>
                <w:szCs w:val="32"/>
                <w:lang w:val="en-US" w:eastAsia="zh-CN"/>
              </w:rPr>
              <w:t>废水、固废合理处置，</w:t>
            </w:r>
            <w:r>
              <w:rPr>
                <w:color w:val="auto"/>
                <w:sz w:val="24"/>
                <w:szCs w:val="32"/>
              </w:rPr>
              <w:t>不会改变当地环境质量现状，不会对周围环境产生明显影响。从环保角度分析，项目选址合理</w:t>
            </w:r>
            <w:r>
              <w:rPr>
                <w:rFonts w:hint="eastAsia"/>
                <w:color w:val="auto"/>
                <w:sz w:val="24"/>
                <w:szCs w:val="32"/>
                <w:lang w:eastAsia="zh-CN"/>
              </w:rPr>
              <w:t>。</w:t>
            </w:r>
          </w:p>
        </w:tc>
      </w:tr>
    </w:tbl>
    <w:p>
      <w:pPr>
        <w:spacing w:line="360" w:lineRule="auto"/>
        <w:outlineLvl w:val="0"/>
        <w:rPr>
          <w:rFonts w:eastAsia="黑体"/>
          <w:color w:val="auto"/>
          <w:sz w:val="30"/>
        </w:rPr>
        <w:sectPr>
          <w:pgSz w:w="11906" w:h="16838"/>
          <w:pgMar w:top="1701" w:right="1531" w:bottom="1701" w:left="1531" w:header="907" w:footer="907" w:gutter="0"/>
          <w:pgBorders>
            <w:top w:val="none" w:sz="0" w:space="0"/>
            <w:left w:val="none" w:sz="0" w:space="0"/>
            <w:bottom w:val="none" w:sz="0" w:space="0"/>
            <w:right w:val="none" w:sz="0" w:space="0"/>
          </w:pgBorders>
          <w:cols w:space="720" w:num="1"/>
          <w:docGrid w:linePitch="312" w:charSpace="0"/>
        </w:sectPr>
      </w:pPr>
    </w:p>
    <w:p>
      <w:pPr>
        <w:pStyle w:val="25"/>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9"/>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pStyle w:val="25"/>
              <w:adjustRightInd w:val="0"/>
              <w:snapToGrid w:val="0"/>
              <w:spacing w:before="0" w:beforeAutospacing="0" w:after="0" w:afterAutospacing="0"/>
              <w:jc w:val="center"/>
              <w:rPr>
                <w:rFonts w:cs="宋体"/>
                <w:b/>
                <w:color w:val="auto"/>
                <w:szCs w:val="24"/>
              </w:rPr>
            </w:pPr>
            <w:r>
              <w:rPr>
                <w:rFonts w:hint="eastAsia" w:cs="宋体"/>
                <w:b/>
                <w:color w:val="auto"/>
                <w:szCs w:val="24"/>
              </w:rPr>
              <w:t>建设内容</w:t>
            </w:r>
          </w:p>
        </w:tc>
        <w:tc>
          <w:tcPr>
            <w:tcW w:w="8425" w:type="dxa"/>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sz w:val="24"/>
              </w:rPr>
            </w:pPr>
            <w:r>
              <w:rPr>
                <w:b/>
                <w:color w:val="auto"/>
                <w:sz w:val="24"/>
              </w:rPr>
              <w:t>1、项目由来</w:t>
            </w:r>
          </w:p>
          <w:p>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陕西绿能先导科技有限责任公司是专注于光电玻璃、智能玻璃、光伏玻璃的研发、生产和销售的高科技企业，本项目租赁秦创原（泾河）智造创新产业园一期16号厂房，主要生产设备包括全自动钢网印刷机、高速贴片机、回流焊、非高压热压夹层机、激光雕刻机、中空合片机等设备，用于生产太阳能光伏夹层玻璃、透明光电玻璃、光伏玻璃等特种玻璃。主要工艺为激光雕刻、钢网印刷、贴片、回流焊，8小时工作制，年生产300天，年产特种玻璃共计20000m</w:t>
            </w:r>
            <w:r>
              <w:rPr>
                <w:rFonts w:hint="eastAsia"/>
                <w:color w:val="auto"/>
                <w:sz w:val="24"/>
                <w:highlight w:val="none"/>
                <w:vertAlign w:val="superscript"/>
                <w:lang w:val="en-US" w:eastAsia="zh-CN"/>
              </w:rPr>
              <w:t>2</w:t>
            </w:r>
            <w:r>
              <w:rPr>
                <w:rFonts w:hint="eastAsia"/>
                <w:color w:val="auto"/>
                <w:sz w:val="24"/>
                <w:highlight w:val="none"/>
                <w:lang w:val="en-US" w:eastAsia="zh-CN"/>
              </w:rPr>
              <w:t>。</w:t>
            </w:r>
          </w:p>
          <w:p>
            <w:pPr>
              <w:spacing w:line="360" w:lineRule="auto"/>
              <w:ind w:firstLine="480" w:firstLineChars="200"/>
              <w:rPr>
                <w:color w:val="auto"/>
                <w:sz w:val="24"/>
                <w:highlight w:val="none"/>
              </w:rPr>
            </w:pPr>
            <w:r>
              <w:rPr>
                <w:color w:val="auto"/>
                <w:sz w:val="24"/>
                <w:highlight w:val="none"/>
              </w:rPr>
              <w:t>接受委托后，我公司立即组织有关技术人员对建设区域进行了现场踏勘，了解、收集与工程有关的技术资料，编制完成了《</w:t>
            </w:r>
            <w:r>
              <w:rPr>
                <w:rFonts w:hint="eastAsia"/>
                <w:color w:val="auto"/>
                <w:sz w:val="24"/>
                <w:highlight w:val="none"/>
                <w:lang w:eastAsia="zh-CN"/>
              </w:rPr>
              <w:t>陕西绿能先导科技有限责任公司LED光电玻璃项目</w:t>
            </w:r>
            <w:r>
              <w:rPr>
                <w:color w:val="auto"/>
                <w:sz w:val="24"/>
                <w:highlight w:val="none"/>
              </w:rPr>
              <w:t>环境影响报告表》。</w:t>
            </w:r>
          </w:p>
          <w:p>
            <w:pPr>
              <w:spacing w:line="360" w:lineRule="auto"/>
              <w:ind w:firstLine="482" w:firstLineChars="200"/>
              <w:rPr>
                <w:b/>
                <w:bCs/>
                <w:color w:val="auto"/>
                <w:sz w:val="24"/>
              </w:rPr>
            </w:pPr>
            <w:r>
              <w:rPr>
                <w:rFonts w:hint="eastAsia"/>
                <w:b/>
                <w:bCs/>
                <w:color w:val="auto"/>
                <w:sz w:val="24"/>
              </w:rPr>
              <w:t>2、项目基本情况</w:t>
            </w:r>
          </w:p>
          <w:p>
            <w:pPr>
              <w:spacing w:line="360" w:lineRule="auto"/>
              <w:ind w:firstLine="480" w:firstLineChars="200"/>
              <w:rPr>
                <w:rFonts w:hint="eastAsia" w:eastAsia="宋体"/>
                <w:color w:val="auto"/>
                <w:sz w:val="24"/>
                <w:lang w:eastAsia="zh-CN"/>
              </w:rPr>
            </w:pPr>
            <w:r>
              <w:rPr>
                <w:rFonts w:hint="eastAsia"/>
                <w:color w:val="auto"/>
                <w:sz w:val="24"/>
              </w:rPr>
              <w:t>项目名称：</w:t>
            </w:r>
            <w:r>
              <w:rPr>
                <w:rFonts w:hint="eastAsia"/>
                <w:color w:val="auto"/>
                <w:sz w:val="24"/>
                <w:lang w:eastAsia="zh-CN"/>
              </w:rPr>
              <w:t>陕西绿能先导科技有限责任公司LED光电玻璃项目</w:t>
            </w:r>
            <w:r>
              <w:rPr>
                <w:rFonts w:hint="eastAsia"/>
                <w:color w:val="auto"/>
                <w:sz w:val="24"/>
                <w:highlight w:val="none"/>
                <w:lang w:eastAsia="zh-CN"/>
              </w:rPr>
              <w:t>；</w:t>
            </w:r>
          </w:p>
          <w:p>
            <w:pPr>
              <w:spacing w:line="360" w:lineRule="auto"/>
              <w:ind w:firstLine="480" w:firstLineChars="200"/>
              <w:rPr>
                <w:rFonts w:hint="eastAsia" w:eastAsia="宋体"/>
                <w:color w:val="auto"/>
                <w:sz w:val="24"/>
                <w:lang w:eastAsia="zh-CN"/>
              </w:rPr>
            </w:pPr>
            <w:r>
              <w:rPr>
                <w:rFonts w:hint="eastAsia"/>
                <w:color w:val="auto"/>
                <w:sz w:val="24"/>
              </w:rPr>
              <w:t>建设性质：新建</w:t>
            </w:r>
            <w:r>
              <w:rPr>
                <w:rFonts w:hint="eastAsia"/>
                <w:color w:val="auto"/>
                <w:sz w:val="24"/>
                <w:lang w:eastAsia="zh-CN"/>
              </w:rPr>
              <w:t>；</w:t>
            </w:r>
          </w:p>
          <w:p>
            <w:pPr>
              <w:spacing w:line="360" w:lineRule="auto"/>
              <w:ind w:firstLine="480" w:firstLineChars="200"/>
              <w:rPr>
                <w:rFonts w:hint="eastAsia" w:eastAsia="宋体"/>
                <w:color w:val="auto"/>
                <w:sz w:val="24"/>
                <w:lang w:eastAsia="zh-CN"/>
              </w:rPr>
            </w:pPr>
            <w:r>
              <w:rPr>
                <w:rFonts w:hint="eastAsia"/>
                <w:color w:val="auto"/>
                <w:sz w:val="24"/>
              </w:rPr>
              <w:t>建设单位：</w:t>
            </w:r>
            <w:r>
              <w:rPr>
                <w:rFonts w:hint="eastAsia"/>
                <w:color w:val="auto"/>
                <w:sz w:val="24"/>
                <w:lang w:eastAsia="zh-CN"/>
              </w:rPr>
              <w:t>陕西绿能先导科技有限责任公司；</w:t>
            </w:r>
          </w:p>
          <w:p>
            <w:pPr>
              <w:spacing w:line="360" w:lineRule="auto"/>
              <w:ind w:firstLine="480" w:firstLineChars="200"/>
              <w:rPr>
                <w:rFonts w:hint="eastAsia" w:eastAsia="宋体"/>
                <w:color w:val="auto"/>
                <w:sz w:val="24"/>
                <w:lang w:eastAsia="zh-CN"/>
              </w:rPr>
            </w:pPr>
            <w:r>
              <w:rPr>
                <w:rFonts w:hint="eastAsia"/>
                <w:color w:val="auto"/>
                <w:sz w:val="24"/>
              </w:rPr>
              <w:t>总投资：</w:t>
            </w:r>
            <w:r>
              <w:rPr>
                <w:rFonts w:hint="eastAsia"/>
                <w:color w:val="auto"/>
                <w:sz w:val="24"/>
                <w:lang w:val="en-US" w:eastAsia="zh-CN"/>
              </w:rPr>
              <w:t>2</w:t>
            </w:r>
            <w:r>
              <w:rPr>
                <w:rFonts w:hint="eastAsia"/>
                <w:color w:val="auto"/>
                <w:sz w:val="24"/>
              </w:rPr>
              <w:t>000万元</w:t>
            </w:r>
            <w:r>
              <w:rPr>
                <w:rFonts w:hint="eastAsia"/>
                <w:color w:val="auto"/>
                <w:sz w:val="24"/>
                <w:lang w:eastAsia="zh-CN"/>
              </w:rPr>
              <w:t>；</w:t>
            </w:r>
          </w:p>
          <w:p>
            <w:pPr>
              <w:spacing w:line="360" w:lineRule="auto"/>
              <w:ind w:firstLine="480" w:firstLineChars="200"/>
              <w:rPr>
                <w:rFonts w:hint="eastAsia" w:eastAsia="宋体"/>
                <w:color w:val="auto"/>
                <w:sz w:val="24"/>
                <w:lang w:eastAsia="zh-CN"/>
              </w:rPr>
            </w:pPr>
            <w:r>
              <w:rPr>
                <w:rFonts w:hint="eastAsia"/>
                <w:color w:val="auto"/>
                <w:sz w:val="24"/>
              </w:rPr>
              <w:t>建设地点：陕西省西咸新区泾河新城</w:t>
            </w:r>
            <w:r>
              <w:rPr>
                <w:rFonts w:hint="eastAsia"/>
                <w:color w:val="auto"/>
                <w:sz w:val="24"/>
                <w:lang w:val="en-US" w:eastAsia="zh-CN"/>
              </w:rPr>
              <w:t>秦创原（泾河）智造创新产业园一期16号厂房</w:t>
            </w:r>
            <w:r>
              <w:rPr>
                <w:rFonts w:hint="eastAsia"/>
                <w:color w:val="auto"/>
                <w:sz w:val="24"/>
              </w:rPr>
              <w:t>，地理坐标为</w:t>
            </w:r>
            <w:r>
              <w:rPr>
                <w:rFonts w:hint="default" w:ascii="Times New Roman" w:hAnsi="Times New Roman" w:cs="Times New Roman"/>
                <w:color w:val="auto"/>
                <w:sz w:val="24"/>
              </w:rPr>
              <w:t>E108°57′16.97</w:t>
            </w:r>
            <w:r>
              <w:rPr>
                <w:rFonts w:hint="eastAsia" w:cs="Times New Roman"/>
                <w:color w:val="auto"/>
                <w:sz w:val="24"/>
                <w:lang w:val="en-US" w:eastAsia="zh-CN"/>
              </w:rPr>
              <w:t>5</w:t>
            </w:r>
            <w:r>
              <w:rPr>
                <w:rFonts w:hint="default" w:ascii="Times New Roman" w:hAnsi="Times New Roman" w:cs="Times New Roman"/>
                <w:color w:val="auto"/>
                <w:sz w:val="24"/>
              </w:rPr>
              <w:t>″、N34°32′38.83</w:t>
            </w:r>
            <w:r>
              <w:rPr>
                <w:rFonts w:hint="eastAsia" w:cs="Times New Roman"/>
                <w:color w:val="auto"/>
                <w:sz w:val="24"/>
                <w:lang w:val="en-US" w:eastAsia="zh-CN"/>
              </w:rPr>
              <w:t>3</w:t>
            </w:r>
            <w:r>
              <w:rPr>
                <w:rFonts w:hint="default" w:ascii="Times New Roman" w:hAnsi="Times New Roman" w:cs="Times New Roman"/>
                <w:color w:val="auto"/>
                <w:sz w:val="24"/>
              </w:rPr>
              <w:t>″</w:t>
            </w:r>
            <w:r>
              <w:rPr>
                <w:rFonts w:hint="eastAsia"/>
                <w:color w:val="auto"/>
                <w:sz w:val="24"/>
              </w:rPr>
              <w:t>，项目地理位置见</w:t>
            </w:r>
            <w:r>
              <w:rPr>
                <w:rFonts w:hint="eastAsia"/>
                <w:color w:val="auto"/>
                <w:sz w:val="24"/>
                <w:highlight w:val="none"/>
              </w:rPr>
              <w:t>附图</w:t>
            </w:r>
            <w:r>
              <w:rPr>
                <w:rFonts w:hint="eastAsia"/>
                <w:color w:val="auto"/>
                <w:sz w:val="24"/>
                <w:highlight w:val="none"/>
                <w:lang w:val="en-US" w:eastAsia="zh-CN"/>
              </w:rPr>
              <w:t>1</w:t>
            </w:r>
            <w:r>
              <w:rPr>
                <w:rFonts w:hint="eastAsia"/>
                <w:color w:val="auto"/>
                <w:sz w:val="24"/>
                <w:highlight w:val="none"/>
                <w:lang w:eastAsia="zh-CN"/>
              </w:rPr>
              <w:t>；</w:t>
            </w:r>
          </w:p>
          <w:p>
            <w:pPr>
              <w:spacing w:line="360" w:lineRule="auto"/>
              <w:ind w:firstLine="480" w:firstLineChars="200"/>
              <w:rPr>
                <w:rFonts w:hint="eastAsia" w:eastAsia="宋体"/>
                <w:color w:val="auto"/>
                <w:sz w:val="24"/>
                <w:lang w:eastAsia="zh-CN"/>
              </w:rPr>
            </w:pPr>
            <w:r>
              <w:rPr>
                <w:rFonts w:hint="eastAsia"/>
                <w:color w:val="auto"/>
                <w:sz w:val="24"/>
              </w:rPr>
              <w:t>项目占地：</w:t>
            </w:r>
            <w:r>
              <w:rPr>
                <w:rFonts w:hint="eastAsia"/>
                <w:color w:val="auto"/>
                <w:sz w:val="24"/>
                <w:lang w:val="en-US" w:eastAsia="zh-CN"/>
              </w:rPr>
              <w:t>秦创原（泾河）智造创新产业园一期16号厂房</w:t>
            </w:r>
            <w:r>
              <w:rPr>
                <w:rFonts w:hint="eastAsia"/>
                <w:color w:val="auto"/>
                <w:sz w:val="24"/>
              </w:rPr>
              <w:t>，</w:t>
            </w:r>
            <w:r>
              <w:rPr>
                <w:rFonts w:hint="eastAsia"/>
                <w:color w:val="auto"/>
                <w:sz w:val="24"/>
                <w:lang w:val="en-US" w:eastAsia="zh-CN"/>
              </w:rPr>
              <w:t>建筑</w:t>
            </w:r>
            <w:r>
              <w:rPr>
                <w:rFonts w:hint="eastAsia"/>
                <w:color w:val="auto"/>
                <w:sz w:val="24"/>
              </w:rPr>
              <w:t>面积</w:t>
            </w:r>
            <w:r>
              <w:rPr>
                <w:rFonts w:hint="eastAsia"/>
                <w:color w:val="auto"/>
                <w:sz w:val="24"/>
                <w:lang w:val="en-US" w:eastAsia="zh-CN"/>
              </w:rPr>
              <w:t>2500</w:t>
            </w:r>
            <w:r>
              <w:rPr>
                <w:rFonts w:hint="eastAsia"/>
                <w:color w:val="auto"/>
                <w:sz w:val="24"/>
              </w:rPr>
              <w:t>m</w:t>
            </w:r>
            <w:r>
              <w:rPr>
                <w:rFonts w:hint="eastAsia"/>
                <w:color w:val="auto"/>
                <w:sz w:val="24"/>
                <w:vertAlign w:val="superscript"/>
              </w:rPr>
              <w:t>2</w:t>
            </w:r>
            <w:r>
              <w:rPr>
                <w:rFonts w:hint="eastAsia"/>
                <w:color w:val="auto"/>
                <w:sz w:val="24"/>
                <w:vertAlign w:val="baseline"/>
                <w:lang w:eastAsia="zh-CN"/>
              </w:rPr>
              <w:t>；</w:t>
            </w:r>
          </w:p>
          <w:p>
            <w:pPr>
              <w:spacing w:line="360" w:lineRule="auto"/>
              <w:ind w:firstLine="480" w:firstLineChars="200"/>
              <w:rPr>
                <w:rFonts w:hint="eastAsia" w:eastAsia="宋体"/>
                <w:color w:val="auto"/>
                <w:sz w:val="24"/>
                <w:lang w:eastAsia="zh-CN"/>
              </w:rPr>
            </w:pPr>
            <w:r>
              <w:rPr>
                <w:rFonts w:hint="eastAsia"/>
                <w:color w:val="auto"/>
                <w:sz w:val="24"/>
              </w:rPr>
              <w:t>项目四邻关系：</w:t>
            </w:r>
            <w:r>
              <w:rPr>
                <w:rFonts w:hint="eastAsia"/>
                <w:color w:val="auto"/>
                <w:sz w:val="24"/>
                <w:szCs w:val="32"/>
                <w:lang w:eastAsia="zh-CN"/>
              </w:rPr>
              <w:t>南侧为空地及临时营地</w:t>
            </w:r>
            <w:r>
              <w:rPr>
                <w:color w:val="auto"/>
                <w:sz w:val="24"/>
                <w:szCs w:val="32"/>
              </w:rPr>
              <w:t>，西侧</w:t>
            </w:r>
            <w:r>
              <w:rPr>
                <w:rFonts w:hint="eastAsia"/>
                <w:color w:val="auto"/>
                <w:sz w:val="24"/>
                <w:szCs w:val="32"/>
                <w:lang w:eastAsia="zh-CN"/>
              </w:rPr>
              <w:t>、</w:t>
            </w:r>
            <w:r>
              <w:rPr>
                <w:rFonts w:hint="eastAsia"/>
                <w:color w:val="auto"/>
                <w:sz w:val="24"/>
                <w:szCs w:val="32"/>
                <w:lang w:val="en-US" w:eastAsia="zh-CN"/>
              </w:rPr>
              <w:t>北侧、东侧均为园区厂房</w:t>
            </w:r>
            <w:r>
              <w:rPr>
                <w:rFonts w:hint="eastAsia"/>
                <w:color w:val="auto"/>
                <w:sz w:val="24"/>
              </w:rPr>
              <w:t>。项目四邻关系见</w:t>
            </w:r>
            <w:r>
              <w:rPr>
                <w:rFonts w:hint="eastAsia"/>
                <w:color w:val="auto"/>
                <w:sz w:val="24"/>
                <w:highlight w:val="none"/>
              </w:rPr>
              <w:t>附图</w:t>
            </w:r>
            <w:r>
              <w:rPr>
                <w:rFonts w:hint="eastAsia"/>
                <w:color w:val="auto"/>
                <w:sz w:val="24"/>
                <w:highlight w:val="none"/>
                <w:lang w:val="en-US" w:eastAsia="zh-CN"/>
              </w:rPr>
              <w:t>4</w:t>
            </w:r>
            <w:r>
              <w:rPr>
                <w:rFonts w:hint="eastAsia"/>
                <w:color w:val="auto"/>
                <w:sz w:val="24"/>
                <w:highlight w:val="none"/>
                <w:lang w:eastAsia="zh-CN"/>
              </w:rPr>
              <w:t>。</w:t>
            </w:r>
          </w:p>
          <w:p>
            <w:pPr>
              <w:spacing w:line="360" w:lineRule="auto"/>
              <w:ind w:firstLine="482" w:firstLineChars="200"/>
              <w:rPr>
                <w:b/>
                <w:bCs/>
                <w:color w:val="auto"/>
                <w:sz w:val="24"/>
              </w:rPr>
            </w:pPr>
            <w:r>
              <w:rPr>
                <w:rFonts w:hint="eastAsia"/>
                <w:b/>
                <w:bCs/>
                <w:color w:val="auto"/>
                <w:sz w:val="24"/>
              </w:rPr>
              <w:t>3、项目建设内容</w:t>
            </w:r>
          </w:p>
          <w:p>
            <w:pPr>
              <w:spacing w:line="360" w:lineRule="auto"/>
              <w:ind w:firstLine="480" w:firstLineChars="200"/>
              <w:rPr>
                <w:color w:val="auto"/>
                <w:sz w:val="24"/>
              </w:rPr>
            </w:pPr>
            <w:r>
              <w:rPr>
                <w:rFonts w:hint="eastAsia"/>
                <w:color w:val="auto"/>
                <w:sz w:val="24"/>
              </w:rPr>
              <w:t>本项目</w:t>
            </w:r>
            <w:r>
              <w:rPr>
                <w:rFonts w:hint="eastAsia"/>
                <w:color w:val="auto"/>
                <w:sz w:val="24"/>
                <w:lang w:val="en-US" w:eastAsia="zh-CN"/>
              </w:rPr>
              <w:t>建筑</w:t>
            </w:r>
            <w:r>
              <w:rPr>
                <w:rFonts w:hint="eastAsia"/>
                <w:color w:val="auto"/>
                <w:sz w:val="24"/>
              </w:rPr>
              <w:t>面积</w:t>
            </w:r>
            <w:r>
              <w:rPr>
                <w:rFonts w:hint="eastAsia"/>
                <w:color w:val="auto"/>
                <w:sz w:val="24"/>
                <w:lang w:val="en-US" w:eastAsia="zh-CN"/>
              </w:rPr>
              <w:t>2500</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其中一层1500</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四层1000</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一层和四层分别设置一条生产线，生产线均自西向东布设，</w:t>
            </w:r>
            <w:r>
              <w:rPr>
                <w:rFonts w:hint="eastAsia"/>
                <w:color w:val="auto"/>
                <w:sz w:val="24"/>
              </w:rPr>
              <w:t xml:space="preserve">项目组成见表2-1。 </w:t>
            </w:r>
          </w:p>
          <w:p>
            <w:pPr>
              <w:ind w:firstLine="422" w:firstLineChars="200"/>
              <w:jc w:val="center"/>
              <w:rPr>
                <w:rFonts w:ascii="宋体" w:hAnsi="宋体" w:cs="黑体"/>
                <w:b/>
                <w:color w:val="auto"/>
                <w:szCs w:val="21"/>
              </w:rPr>
            </w:pPr>
            <w:r>
              <w:rPr>
                <w:rFonts w:hint="eastAsia" w:ascii="宋体" w:hAnsi="宋体" w:cs="黑体"/>
                <w:b/>
                <w:color w:val="auto"/>
                <w:szCs w:val="21"/>
              </w:rPr>
              <w:t>表</w:t>
            </w:r>
            <w:r>
              <w:rPr>
                <w:b/>
                <w:color w:val="auto"/>
                <w:szCs w:val="21"/>
              </w:rPr>
              <w:t>2-1</w:t>
            </w:r>
            <w:r>
              <w:rPr>
                <w:rFonts w:hint="eastAsia" w:ascii="宋体" w:hAnsi="宋体" w:cs="黑体"/>
                <w:b/>
                <w:color w:val="auto"/>
                <w:szCs w:val="21"/>
              </w:rPr>
              <w:t xml:space="preserve">  项目工程内容组成表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25"/>
              <w:gridCol w:w="851"/>
              <w:gridCol w:w="5863"/>
              <w:gridCol w:w="107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59" w:type="pct"/>
                  <w:vAlign w:val="center"/>
                </w:tcPr>
                <w:p>
                  <w:pPr>
                    <w:jc w:val="center"/>
                    <w:rPr>
                      <w:b w:val="0"/>
                      <w:bCs w:val="0"/>
                      <w:color w:val="auto"/>
                      <w:kern w:val="0"/>
                      <w:szCs w:val="21"/>
                    </w:rPr>
                  </w:pPr>
                  <w:r>
                    <w:rPr>
                      <w:rFonts w:hint="eastAsia"/>
                      <w:b w:val="0"/>
                      <w:bCs w:val="0"/>
                      <w:color w:val="auto"/>
                      <w:kern w:val="0"/>
                      <w:szCs w:val="21"/>
                    </w:rPr>
                    <w:t>类别</w:t>
                  </w:r>
                </w:p>
              </w:tc>
              <w:tc>
                <w:tcPr>
                  <w:tcW w:w="518" w:type="pct"/>
                  <w:vAlign w:val="center"/>
                </w:tcPr>
                <w:p>
                  <w:pPr>
                    <w:jc w:val="center"/>
                    <w:rPr>
                      <w:b w:val="0"/>
                      <w:bCs w:val="0"/>
                      <w:color w:val="auto"/>
                      <w:kern w:val="0"/>
                      <w:szCs w:val="21"/>
                    </w:rPr>
                  </w:pPr>
                  <w:r>
                    <w:rPr>
                      <w:rFonts w:hint="eastAsia"/>
                      <w:b w:val="0"/>
                      <w:bCs w:val="0"/>
                      <w:color w:val="auto"/>
                      <w:kern w:val="0"/>
                      <w:szCs w:val="21"/>
                    </w:rPr>
                    <w:t>工程名称</w:t>
                  </w:r>
                </w:p>
              </w:tc>
              <w:tc>
                <w:tcPr>
                  <w:tcW w:w="3570" w:type="pct"/>
                  <w:vAlign w:val="center"/>
                </w:tcPr>
                <w:p>
                  <w:pPr>
                    <w:jc w:val="center"/>
                    <w:rPr>
                      <w:b w:val="0"/>
                      <w:bCs w:val="0"/>
                      <w:color w:val="auto"/>
                      <w:kern w:val="0"/>
                      <w:szCs w:val="21"/>
                    </w:rPr>
                  </w:pPr>
                  <w:r>
                    <w:rPr>
                      <w:rFonts w:hint="eastAsia"/>
                      <w:b w:val="0"/>
                      <w:bCs w:val="0"/>
                      <w:color w:val="auto"/>
                      <w:kern w:val="0"/>
                      <w:szCs w:val="21"/>
                    </w:rPr>
                    <w:t>工程内容</w:t>
                  </w:r>
                </w:p>
              </w:tc>
              <w:tc>
                <w:tcPr>
                  <w:tcW w:w="651" w:type="pct"/>
                  <w:vAlign w:val="center"/>
                </w:tcPr>
                <w:p>
                  <w:pPr>
                    <w:adjustRightInd w:val="0"/>
                    <w:jc w:val="center"/>
                    <w:rPr>
                      <w:b w:val="0"/>
                      <w:bCs w:val="0"/>
                      <w:color w:val="auto"/>
                      <w:kern w:val="0"/>
                      <w:szCs w:val="21"/>
                    </w:rPr>
                  </w:pPr>
                  <w:r>
                    <w:rPr>
                      <w:b w:val="0"/>
                      <w:bCs w:val="0"/>
                      <w:color w:val="auto"/>
                      <w:kern w:val="0"/>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Align w:val="center"/>
                </w:tcPr>
                <w:p>
                  <w:pPr>
                    <w:jc w:val="center"/>
                    <w:rPr>
                      <w:b w:val="0"/>
                      <w:bCs/>
                      <w:color w:val="auto"/>
                      <w:kern w:val="0"/>
                      <w:szCs w:val="21"/>
                    </w:rPr>
                  </w:pPr>
                  <w:r>
                    <w:rPr>
                      <w:rFonts w:hint="eastAsia"/>
                      <w:b w:val="0"/>
                      <w:bCs/>
                      <w:color w:val="auto"/>
                      <w:kern w:val="0"/>
                      <w:szCs w:val="21"/>
                    </w:rPr>
                    <w:t>主体工程</w:t>
                  </w:r>
                </w:p>
              </w:tc>
              <w:tc>
                <w:tcPr>
                  <w:tcW w:w="518" w:type="pct"/>
                  <w:vAlign w:val="center"/>
                </w:tcPr>
                <w:p>
                  <w:pPr>
                    <w:jc w:val="center"/>
                    <w:rPr>
                      <w:rFonts w:hint="eastAsia" w:eastAsia="宋体"/>
                      <w:color w:val="auto"/>
                      <w:kern w:val="0"/>
                      <w:szCs w:val="21"/>
                      <w:lang w:eastAsia="zh-CN"/>
                    </w:rPr>
                  </w:pPr>
                  <w:r>
                    <w:rPr>
                      <w:rFonts w:hint="eastAsia"/>
                      <w:color w:val="auto"/>
                      <w:kern w:val="0"/>
                      <w:szCs w:val="21"/>
                      <w:lang w:val="en-US" w:eastAsia="zh-CN"/>
                    </w:rPr>
                    <w:t>生产线</w:t>
                  </w:r>
                </w:p>
              </w:tc>
              <w:tc>
                <w:tcPr>
                  <w:tcW w:w="3570" w:type="pct"/>
                  <w:vAlign w:val="center"/>
                </w:tcPr>
                <w:p>
                  <w:pPr>
                    <w:jc w:val="center"/>
                    <w:rPr>
                      <w:color w:val="auto"/>
                      <w:kern w:val="0"/>
                      <w:szCs w:val="21"/>
                    </w:rPr>
                  </w:pPr>
                  <w:r>
                    <w:rPr>
                      <w:rFonts w:hint="eastAsia"/>
                      <w:color w:val="auto"/>
                      <w:kern w:val="0"/>
                      <w:szCs w:val="21"/>
                      <w:lang w:val="en-US" w:eastAsia="zh-CN"/>
                    </w:rPr>
                    <w:t>分别在一层和四层各布设1条生产线</w:t>
                  </w:r>
                  <w:r>
                    <w:rPr>
                      <w:rFonts w:hint="eastAsia"/>
                      <w:color w:val="auto"/>
                      <w:kern w:val="0"/>
                      <w:szCs w:val="21"/>
                    </w:rPr>
                    <w:t>，</w:t>
                  </w:r>
                  <w:r>
                    <w:rPr>
                      <w:rFonts w:hint="eastAsia"/>
                      <w:color w:val="auto"/>
                      <w:kern w:val="0"/>
                      <w:szCs w:val="21"/>
                      <w:lang w:val="en-US" w:eastAsia="zh-CN"/>
                    </w:rPr>
                    <w:t>主要布设</w:t>
                  </w:r>
                  <w:r>
                    <w:rPr>
                      <w:rFonts w:hint="eastAsia"/>
                      <w:color w:val="auto"/>
                      <w:sz w:val="21"/>
                      <w:szCs w:val="21"/>
                      <w:lang w:val="en-US" w:eastAsia="zh-CN"/>
                    </w:rPr>
                    <w:t>全自动钢网印刷机、高速贴片机、回流焊、非高压热压夹层机、激光雕刻机、中空合片机等设备，</w:t>
                  </w:r>
                  <w:r>
                    <w:rPr>
                      <w:rFonts w:hint="eastAsia"/>
                      <w:color w:val="auto"/>
                      <w:kern w:val="0"/>
                      <w:szCs w:val="21"/>
                    </w:rPr>
                    <w:t>厂房</w:t>
                  </w:r>
                  <w:r>
                    <w:rPr>
                      <w:rFonts w:hint="eastAsia"/>
                      <w:color w:val="auto"/>
                      <w:kern w:val="0"/>
                      <w:szCs w:val="21"/>
                      <w:lang w:val="en-US" w:eastAsia="zh-CN"/>
                    </w:rPr>
                    <w:t>层高6</w:t>
                  </w:r>
                  <w:r>
                    <w:rPr>
                      <w:rFonts w:hint="eastAsia"/>
                      <w:color w:val="auto"/>
                      <w:kern w:val="0"/>
                      <w:szCs w:val="21"/>
                    </w:rPr>
                    <w:t>m</w:t>
                  </w:r>
                  <w:r>
                    <w:rPr>
                      <w:rFonts w:hint="eastAsia"/>
                      <w:color w:val="auto"/>
                      <w:kern w:val="0"/>
                      <w:szCs w:val="21"/>
                      <w:lang w:eastAsia="zh-CN"/>
                    </w:rPr>
                    <w:t>，</w:t>
                  </w:r>
                  <w:r>
                    <w:rPr>
                      <w:rFonts w:hint="eastAsia"/>
                      <w:color w:val="auto"/>
                      <w:kern w:val="0"/>
                      <w:szCs w:val="21"/>
                      <w:lang w:val="en-US" w:eastAsia="zh-CN"/>
                    </w:rPr>
                    <w:t>地面经混凝土硬化</w:t>
                  </w:r>
                  <w:r>
                    <w:rPr>
                      <w:rFonts w:hint="eastAsia"/>
                      <w:color w:val="auto"/>
                      <w:kern w:val="0"/>
                      <w:szCs w:val="21"/>
                    </w:rPr>
                    <w:t>。</w:t>
                  </w:r>
                </w:p>
              </w:tc>
              <w:tc>
                <w:tcPr>
                  <w:tcW w:w="651" w:type="pct"/>
                  <w:vAlign w:val="center"/>
                </w:tcPr>
                <w:p>
                  <w:pPr>
                    <w:adjustRightInd w:val="0"/>
                    <w:jc w:val="center"/>
                    <w:rPr>
                      <w:color w:val="auto"/>
                      <w:kern w:val="0"/>
                      <w:szCs w:val="21"/>
                    </w:rPr>
                  </w:pPr>
                  <w:r>
                    <w:rPr>
                      <w:rFonts w:hint="eastAsia"/>
                      <w:color w:val="auto"/>
                      <w:kern w:val="0"/>
                      <w:szCs w:val="21"/>
                    </w:rPr>
                    <w:t>利用</w:t>
                  </w:r>
                  <w:r>
                    <w:rPr>
                      <w:rFonts w:hint="eastAsia"/>
                      <w:color w:val="auto"/>
                      <w:sz w:val="21"/>
                      <w:szCs w:val="21"/>
                      <w:lang w:val="en-US" w:eastAsia="zh-CN"/>
                    </w:rPr>
                    <w:t>园区</w:t>
                  </w:r>
                  <w:r>
                    <w:rPr>
                      <w:rFonts w:hint="eastAsia"/>
                      <w:color w:val="auto"/>
                      <w:kern w:val="0"/>
                      <w:szCs w:val="21"/>
                    </w:rPr>
                    <w:t>现有厂房，新增设备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restart"/>
                  <w:vAlign w:val="center"/>
                </w:tcPr>
                <w:p>
                  <w:pPr>
                    <w:jc w:val="center"/>
                    <w:rPr>
                      <w:rFonts w:hint="default" w:eastAsia="宋体"/>
                      <w:b w:val="0"/>
                      <w:bCs/>
                      <w:color w:val="auto"/>
                      <w:kern w:val="0"/>
                      <w:szCs w:val="21"/>
                      <w:lang w:val="en-US" w:eastAsia="zh-CN"/>
                    </w:rPr>
                  </w:pPr>
                  <w:r>
                    <w:rPr>
                      <w:rFonts w:hint="eastAsia"/>
                      <w:b w:val="0"/>
                      <w:bCs/>
                      <w:color w:val="auto"/>
                      <w:kern w:val="0"/>
                      <w:szCs w:val="21"/>
                      <w:lang w:val="en-US" w:eastAsia="zh-CN"/>
                    </w:rPr>
                    <w:t>储运工程</w:t>
                  </w:r>
                </w:p>
              </w:tc>
              <w:tc>
                <w:tcPr>
                  <w:tcW w:w="518" w:type="pct"/>
                  <w:vAlign w:val="center"/>
                </w:tcPr>
                <w:p>
                  <w:pPr>
                    <w:jc w:val="center"/>
                    <w:rPr>
                      <w:rFonts w:hint="eastAsia" w:eastAsia="宋体"/>
                      <w:color w:val="auto"/>
                      <w:kern w:val="0"/>
                      <w:szCs w:val="21"/>
                      <w:lang w:eastAsia="zh-CN"/>
                    </w:rPr>
                  </w:pPr>
                  <w:r>
                    <w:rPr>
                      <w:rFonts w:hint="eastAsia"/>
                      <w:color w:val="auto"/>
                      <w:kern w:val="0"/>
                      <w:szCs w:val="21"/>
                      <w:lang w:val="en-US" w:eastAsia="zh-CN"/>
                    </w:rPr>
                    <w:t>库房</w:t>
                  </w:r>
                </w:p>
              </w:tc>
              <w:tc>
                <w:tcPr>
                  <w:tcW w:w="3570" w:type="pct"/>
                  <w:vAlign w:val="center"/>
                </w:tcPr>
                <w:p>
                  <w:pPr>
                    <w:jc w:val="center"/>
                    <w:rPr>
                      <w:rFonts w:hint="default" w:eastAsia="宋体"/>
                      <w:color w:val="auto"/>
                      <w:kern w:val="0"/>
                      <w:szCs w:val="21"/>
                      <w:lang w:val="en-US" w:eastAsia="zh-CN"/>
                    </w:rPr>
                  </w:pPr>
                  <w:r>
                    <w:rPr>
                      <w:rFonts w:hint="eastAsia"/>
                      <w:color w:val="auto"/>
                      <w:kern w:val="0"/>
                      <w:szCs w:val="21"/>
                      <w:lang w:val="en-US" w:eastAsia="zh-CN"/>
                    </w:rPr>
                    <w:t>原料库位于一层厂房西侧，布置在生产线西侧</w:t>
                  </w:r>
                  <w:r>
                    <w:rPr>
                      <w:rFonts w:hint="eastAsia"/>
                      <w:color w:val="auto"/>
                      <w:kern w:val="0"/>
                      <w:szCs w:val="21"/>
                      <w:lang w:eastAsia="zh-CN"/>
                    </w:rPr>
                    <w:t>；</w:t>
                  </w:r>
                  <w:r>
                    <w:rPr>
                      <w:rFonts w:hint="eastAsia"/>
                      <w:color w:val="auto"/>
                      <w:kern w:val="0"/>
                      <w:szCs w:val="21"/>
                      <w:lang w:val="en-US" w:eastAsia="zh-CN"/>
                    </w:rPr>
                    <w:t>产品库房位于生产线南侧</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lang w:val="en-US" w:eastAsia="zh-CN"/>
                    </w:rPr>
                  </w:pPr>
                </w:p>
              </w:tc>
              <w:tc>
                <w:tcPr>
                  <w:tcW w:w="518" w:type="pct"/>
                  <w:vAlign w:val="center"/>
                </w:tcPr>
                <w:p>
                  <w:pPr>
                    <w:jc w:val="center"/>
                    <w:rPr>
                      <w:rFonts w:hint="default"/>
                      <w:color w:val="auto"/>
                      <w:kern w:val="0"/>
                      <w:szCs w:val="21"/>
                      <w:lang w:val="en-US" w:eastAsia="zh-CN"/>
                    </w:rPr>
                  </w:pPr>
                  <w:r>
                    <w:rPr>
                      <w:rFonts w:hint="eastAsia"/>
                      <w:color w:val="auto"/>
                      <w:kern w:val="0"/>
                      <w:szCs w:val="21"/>
                      <w:lang w:val="en-US" w:eastAsia="zh-CN"/>
                    </w:rPr>
                    <w:t>运输</w:t>
                  </w:r>
                </w:p>
              </w:tc>
              <w:tc>
                <w:tcPr>
                  <w:tcW w:w="3570" w:type="pct"/>
                  <w:vAlign w:val="center"/>
                </w:tcPr>
                <w:p>
                  <w:pPr>
                    <w:jc w:val="center"/>
                    <w:rPr>
                      <w:rFonts w:hint="default"/>
                      <w:color w:val="auto"/>
                      <w:kern w:val="0"/>
                      <w:szCs w:val="21"/>
                      <w:lang w:val="en-US" w:eastAsia="zh-CN"/>
                    </w:rPr>
                  </w:pPr>
                  <w:r>
                    <w:rPr>
                      <w:rFonts w:hint="eastAsia"/>
                      <w:color w:val="auto"/>
                      <w:kern w:val="0"/>
                      <w:szCs w:val="21"/>
                      <w:lang w:val="en-US" w:eastAsia="zh-CN"/>
                    </w:rPr>
                    <w:t>采用汽车运输，装卸区位于一层厂房西南角</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restart"/>
                  <w:vAlign w:val="center"/>
                </w:tcPr>
                <w:p>
                  <w:pPr>
                    <w:jc w:val="center"/>
                    <w:rPr>
                      <w:b w:val="0"/>
                      <w:bCs/>
                      <w:color w:val="auto"/>
                      <w:kern w:val="0"/>
                      <w:szCs w:val="21"/>
                    </w:rPr>
                  </w:pPr>
                  <w:r>
                    <w:rPr>
                      <w:rFonts w:hint="eastAsia"/>
                      <w:b w:val="0"/>
                      <w:bCs/>
                      <w:color w:val="auto"/>
                      <w:kern w:val="0"/>
                      <w:szCs w:val="21"/>
                    </w:rPr>
                    <w:t>辅助工程</w:t>
                  </w:r>
                </w:p>
              </w:tc>
              <w:tc>
                <w:tcPr>
                  <w:tcW w:w="518" w:type="pct"/>
                  <w:vAlign w:val="center"/>
                </w:tcPr>
                <w:p>
                  <w:pPr>
                    <w:jc w:val="center"/>
                    <w:rPr>
                      <w:color w:val="auto"/>
                      <w:szCs w:val="21"/>
                    </w:rPr>
                  </w:pPr>
                  <w:r>
                    <w:rPr>
                      <w:rFonts w:hint="eastAsia"/>
                      <w:color w:val="auto"/>
                      <w:szCs w:val="21"/>
                    </w:rPr>
                    <w:t>办公室</w:t>
                  </w:r>
                </w:p>
              </w:tc>
              <w:tc>
                <w:tcPr>
                  <w:tcW w:w="3570" w:type="pct"/>
                  <w:vAlign w:val="center"/>
                </w:tcPr>
                <w:p>
                  <w:pPr>
                    <w:pStyle w:val="78"/>
                    <w:spacing w:line="240" w:lineRule="auto"/>
                    <w:ind w:firstLine="0"/>
                    <w:jc w:val="center"/>
                    <w:rPr>
                      <w:rFonts w:hint="default" w:cs="Times New Roman"/>
                      <w:color w:val="auto"/>
                      <w:sz w:val="21"/>
                      <w:szCs w:val="21"/>
                      <w:lang w:val="en-US"/>
                    </w:rPr>
                  </w:pPr>
                  <w:r>
                    <w:rPr>
                      <w:rFonts w:hint="eastAsia" w:cs="Times New Roman"/>
                      <w:color w:val="auto"/>
                      <w:sz w:val="21"/>
                      <w:szCs w:val="21"/>
                      <w:lang w:val="en-US" w:eastAsia="zh-CN"/>
                    </w:rPr>
                    <w:t>位于四层厂房西北角，建筑面积约80</w:t>
                  </w:r>
                  <w:r>
                    <w:rPr>
                      <w:rFonts w:hint="eastAsia"/>
                      <w:color w:val="auto"/>
                      <w:sz w:val="21"/>
                      <w:szCs w:val="21"/>
                    </w:rPr>
                    <w:t>m</w:t>
                  </w:r>
                  <w:r>
                    <w:rPr>
                      <w:rFonts w:hint="eastAsia"/>
                      <w:color w:val="auto"/>
                      <w:sz w:val="21"/>
                      <w:szCs w:val="21"/>
                      <w:vertAlign w:val="superscript"/>
                    </w:rPr>
                    <w:t>2</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eastAsia" w:eastAsia="宋体"/>
                      <w:color w:val="auto"/>
                      <w:szCs w:val="21"/>
                      <w:lang w:val="en-US" w:eastAsia="zh-CN"/>
                    </w:rPr>
                  </w:pPr>
                  <w:r>
                    <w:rPr>
                      <w:rFonts w:hint="eastAsia"/>
                      <w:color w:val="auto"/>
                      <w:szCs w:val="21"/>
                      <w:lang w:val="en-US" w:eastAsia="zh-CN"/>
                    </w:rPr>
                    <w:t>洽谈室</w:t>
                  </w:r>
                </w:p>
              </w:tc>
              <w:tc>
                <w:tcPr>
                  <w:tcW w:w="3570" w:type="pct"/>
                  <w:vAlign w:val="center"/>
                </w:tcPr>
                <w:p>
                  <w:pPr>
                    <w:pStyle w:val="78"/>
                    <w:spacing w:line="240" w:lineRule="auto"/>
                    <w:ind w:firstLine="0"/>
                    <w:jc w:val="center"/>
                    <w:rPr>
                      <w:rFonts w:hint="default" w:cs="Times New Roman"/>
                      <w:color w:val="auto"/>
                      <w:sz w:val="21"/>
                      <w:szCs w:val="21"/>
                      <w:lang w:val="en-US" w:eastAsia="zh-CN"/>
                    </w:rPr>
                  </w:pPr>
                  <w:r>
                    <w:rPr>
                      <w:rFonts w:hint="eastAsia" w:cs="Times New Roman"/>
                      <w:color w:val="auto"/>
                      <w:sz w:val="21"/>
                      <w:szCs w:val="21"/>
                      <w:lang w:val="en-US" w:eastAsia="zh-CN"/>
                    </w:rPr>
                    <w:t>位于一层厂房西北角，建筑面积约18</w:t>
                  </w:r>
                  <w:r>
                    <w:rPr>
                      <w:rFonts w:hint="eastAsia"/>
                      <w:color w:val="auto"/>
                      <w:sz w:val="21"/>
                      <w:szCs w:val="21"/>
                    </w:rPr>
                    <w:t>m</w:t>
                  </w:r>
                  <w:r>
                    <w:rPr>
                      <w:rFonts w:hint="eastAsia"/>
                      <w:color w:val="auto"/>
                      <w:sz w:val="21"/>
                      <w:szCs w:val="21"/>
                      <w:vertAlign w:val="superscript"/>
                    </w:rPr>
                    <w:t>2</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eastAsia" w:eastAsia="宋体"/>
                      <w:color w:val="auto"/>
                      <w:szCs w:val="21"/>
                      <w:lang w:val="en-US" w:eastAsia="zh-CN"/>
                    </w:rPr>
                  </w:pPr>
                  <w:r>
                    <w:rPr>
                      <w:rFonts w:hint="eastAsia"/>
                      <w:color w:val="auto"/>
                      <w:szCs w:val="21"/>
                      <w:lang w:val="en-US" w:eastAsia="zh-CN"/>
                    </w:rPr>
                    <w:t>展廊</w:t>
                  </w:r>
                </w:p>
              </w:tc>
              <w:tc>
                <w:tcPr>
                  <w:tcW w:w="3570" w:type="pct"/>
                  <w:vAlign w:val="center"/>
                </w:tcPr>
                <w:p>
                  <w:pPr>
                    <w:pStyle w:val="78"/>
                    <w:spacing w:line="240" w:lineRule="auto"/>
                    <w:ind w:firstLine="0"/>
                    <w:jc w:val="center"/>
                    <w:rPr>
                      <w:rFonts w:hint="default" w:cs="Times New Roman"/>
                      <w:color w:val="auto"/>
                      <w:sz w:val="21"/>
                      <w:szCs w:val="21"/>
                      <w:lang w:val="en-US" w:eastAsia="zh-CN"/>
                    </w:rPr>
                  </w:pPr>
                  <w:r>
                    <w:rPr>
                      <w:rFonts w:hint="eastAsia" w:cs="Times New Roman"/>
                      <w:color w:val="auto"/>
                      <w:sz w:val="21"/>
                      <w:szCs w:val="21"/>
                      <w:lang w:val="en-US" w:eastAsia="zh-CN"/>
                    </w:rPr>
                    <w:t>位于一层厂房北侧、东侧，呈“L”形</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eastAsia" w:eastAsia="宋体"/>
                      <w:color w:val="auto"/>
                      <w:szCs w:val="21"/>
                      <w:lang w:val="en-US" w:eastAsia="zh-CN"/>
                    </w:rPr>
                  </w:pPr>
                  <w:r>
                    <w:rPr>
                      <w:rFonts w:hint="eastAsia"/>
                      <w:color w:val="auto"/>
                      <w:szCs w:val="21"/>
                      <w:lang w:val="en-US" w:eastAsia="zh-CN"/>
                    </w:rPr>
                    <w:t>开放沙龙</w:t>
                  </w:r>
                </w:p>
              </w:tc>
              <w:tc>
                <w:tcPr>
                  <w:tcW w:w="3570" w:type="pct"/>
                  <w:vAlign w:val="center"/>
                </w:tcPr>
                <w:p>
                  <w:pPr>
                    <w:pStyle w:val="78"/>
                    <w:spacing w:line="240" w:lineRule="auto"/>
                    <w:ind w:firstLine="0"/>
                    <w:jc w:val="center"/>
                    <w:rPr>
                      <w:rFonts w:hint="default" w:cs="Times New Roman"/>
                      <w:color w:val="auto"/>
                      <w:sz w:val="21"/>
                      <w:szCs w:val="21"/>
                      <w:lang w:val="en-US" w:eastAsia="zh-CN"/>
                    </w:rPr>
                  </w:pPr>
                  <w:r>
                    <w:rPr>
                      <w:rFonts w:hint="eastAsia" w:cs="Times New Roman"/>
                      <w:color w:val="auto"/>
                      <w:sz w:val="21"/>
                      <w:szCs w:val="21"/>
                      <w:lang w:val="en-US" w:eastAsia="zh-CN"/>
                    </w:rPr>
                    <w:t>位于一层厂房东北角，建筑面积约50</w:t>
                  </w:r>
                  <w:r>
                    <w:rPr>
                      <w:rFonts w:hint="eastAsia"/>
                      <w:color w:val="auto"/>
                      <w:sz w:val="21"/>
                      <w:szCs w:val="21"/>
                    </w:rPr>
                    <w:t>m</w:t>
                  </w:r>
                  <w:r>
                    <w:rPr>
                      <w:rFonts w:hint="eastAsia"/>
                      <w:color w:val="auto"/>
                      <w:sz w:val="21"/>
                      <w:szCs w:val="21"/>
                      <w:vertAlign w:val="superscript"/>
                    </w:rPr>
                    <w:t>2</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default"/>
                      <w:color w:val="auto"/>
                      <w:szCs w:val="21"/>
                      <w:lang w:val="en-US" w:eastAsia="zh-CN"/>
                    </w:rPr>
                  </w:pPr>
                  <w:r>
                    <w:rPr>
                      <w:rFonts w:hint="eastAsia"/>
                      <w:color w:val="auto"/>
                      <w:szCs w:val="21"/>
                      <w:lang w:val="en-US" w:eastAsia="zh-CN"/>
                    </w:rPr>
                    <w:t>展厅</w:t>
                  </w:r>
                </w:p>
              </w:tc>
              <w:tc>
                <w:tcPr>
                  <w:tcW w:w="3570" w:type="pct"/>
                  <w:vAlign w:val="center"/>
                </w:tcPr>
                <w:p>
                  <w:pPr>
                    <w:pStyle w:val="78"/>
                    <w:spacing w:line="240" w:lineRule="auto"/>
                    <w:ind w:firstLine="0"/>
                    <w:jc w:val="center"/>
                    <w:rPr>
                      <w:rFonts w:hint="eastAsia" w:cs="Times New Roman"/>
                      <w:color w:val="auto"/>
                      <w:sz w:val="21"/>
                      <w:szCs w:val="21"/>
                      <w:lang w:val="en-US" w:eastAsia="zh-CN"/>
                    </w:rPr>
                  </w:pPr>
                  <w:r>
                    <w:rPr>
                      <w:rFonts w:hint="eastAsia" w:cs="Times New Roman"/>
                      <w:color w:val="auto"/>
                      <w:sz w:val="21"/>
                      <w:szCs w:val="21"/>
                      <w:lang w:val="en-US" w:eastAsia="zh-CN"/>
                    </w:rPr>
                    <w:t>位于一层厂房东侧，建筑面积约40</w:t>
                  </w:r>
                  <w:r>
                    <w:rPr>
                      <w:rFonts w:hint="eastAsia"/>
                      <w:color w:val="auto"/>
                      <w:sz w:val="21"/>
                      <w:szCs w:val="21"/>
                    </w:rPr>
                    <w:t>m</w:t>
                  </w:r>
                  <w:r>
                    <w:rPr>
                      <w:rFonts w:hint="eastAsia"/>
                      <w:color w:val="auto"/>
                      <w:sz w:val="21"/>
                      <w:szCs w:val="21"/>
                      <w:vertAlign w:val="superscript"/>
                    </w:rPr>
                    <w:t>2</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default"/>
                      <w:color w:val="auto"/>
                      <w:szCs w:val="21"/>
                      <w:lang w:val="en-US" w:eastAsia="zh-CN"/>
                    </w:rPr>
                  </w:pPr>
                  <w:r>
                    <w:rPr>
                      <w:rFonts w:hint="eastAsia"/>
                      <w:color w:val="auto"/>
                      <w:szCs w:val="21"/>
                      <w:lang w:val="en-US" w:eastAsia="zh-CN"/>
                    </w:rPr>
                    <w:t>排烟机房</w:t>
                  </w:r>
                </w:p>
              </w:tc>
              <w:tc>
                <w:tcPr>
                  <w:tcW w:w="3570" w:type="pct"/>
                  <w:vAlign w:val="center"/>
                </w:tcPr>
                <w:p>
                  <w:pPr>
                    <w:pStyle w:val="78"/>
                    <w:spacing w:line="240" w:lineRule="auto"/>
                    <w:ind w:firstLine="0"/>
                    <w:jc w:val="center"/>
                    <w:rPr>
                      <w:rFonts w:hint="default" w:cs="Times New Roman"/>
                      <w:color w:val="auto"/>
                      <w:sz w:val="21"/>
                      <w:szCs w:val="21"/>
                      <w:lang w:val="en-US" w:eastAsia="zh-CN"/>
                    </w:rPr>
                  </w:pPr>
                  <w:r>
                    <w:rPr>
                      <w:rFonts w:hint="eastAsia" w:cs="Times New Roman"/>
                      <w:color w:val="auto"/>
                      <w:sz w:val="21"/>
                      <w:szCs w:val="21"/>
                      <w:lang w:val="en-US" w:eastAsia="zh-CN"/>
                    </w:rPr>
                    <w:t>位于厂房西北角，用于车间通风换气，每层设置1台风机，建筑面积约13.6</w:t>
                  </w:r>
                  <w:r>
                    <w:rPr>
                      <w:rFonts w:hint="eastAsia"/>
                      <w:color w:val="auto"/>
                      <w:sz w:val="21"/>
                      <w:szCs w:val="21"/>
                    </w:rPr>
                    <w:t>m</w:t>
                  </w:r>
                  <w:r>
                    <w:rPr>
                      <w:rFonts w:hint="eastAsia"/>
                      <w:color w:val="auto"/>
                      <w:sz w:val="21"/>
                      <w:szCs w:val="21"/>
                      <w:vertAlign w:val="superscript"/>
                    </w:rPr>
                    <w:t>2</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rFonts w:hint="eastAsia"/>
                      <w:b w:val="0"/>
                      <w:bCs/>
                      <w:color w:val="auto"/>
                      <w:kern w:val="0"/>
                      <w:szCs w:val="21"/>
                    </w:rPr>
                  </w:pPr>
                </w:p>
              </w:tc>
              <w:tc>
                <w:tcPr>
                  <w:tcW w:w="518" w:type="pct"/>
                  <w:vAlign w:val="center"/>
                </w:tcPr>
                <w:p>
                  <w:pPr>
                    <w:jc w:val="center"/>
                    <w:rPr>
                      <w:rFonts w:hint="default"/>
                      <w:color w:val="auto"/>
                      <w:szCs w:val="21"/>
                      <w:lang w:val="en-US" w:eastAsia="zh-CN"/>
                    </w:rPr>
                  </w:pPr>
                  <w:r>
                    <w:rPr>
                      <w:rFonts w:hint="eastAsia"/>
                      <w:color w:val="auto"/>
                      <w:szCs w:val="21"/>
                      <w:lang w:val="en-US" w:eastAsia="zh-CN"/>
                    </w:rPr>
                    <w:t>卫生间</w:t>
                  </w:r>
                </w:p>
              </w:tc>
              <w:tc>
                <w:tcPr>
                  <w:tcW w:w="3570" w:type="pct"/>
                  <w:vAlign w:val="center"/>
                </w:tcPr>
                <w:p>
                  <w:pPr>
                    <w:pStyle w:val="78"/>
                    <w:spacing w:line="240" w:lineRule="auto"/>
                    <w:ind w:firstLine="0"/>
                    <w:jc w:val="center"/>
                    <w:rPr>
                      <w:rFonts w:hint="default" w:cs="Times New Roman"/>
                      <w:color w:val="auto"/>
                      <w:sz w:val="21"/>
                      <w:szCs w:val="21"/>
                      <w:lang w:val="en-US" w:eastAsia="zh-CN"/>
                    </w:rPr>
                  </w:pPr>
                  <w:r>
                    <w:rPr>
                      <w:rFonts w:hint="eastAsia" w:cs="Times New Roman"/>
                      <w:color w:val="auto"/>
                      <w:sz w:val="21"/>
                      <w:szCs w:val="21"/>
                      <w:lang w:val="en-US" w:eastAsia="zh-CN"/>
                    </w:rPr>
                    <w:t>一层和四层分别在厂房东南角和西南角各设置1处卫生间，共4处</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restart"/>
                  <w:vAlign w:val="center"/>
                </w:tcPr>
                <w:p>
                  <w:pPr>
                    <w:jc w:val="center"/>
                    <w:rPr>
                      <w:rFonts w:hint="eastAsia" w:eastAsia="宋体"/>
                      <w:b w:val="0"/>
                      <w:bCs/>
                      <w:color w:val="auto"/>
                      <w:kern w:val="0"/>
                      <w:szCs w:val="21"/>
                      <w:lang w:val="en-US" w:eastAsia="zh-CN"/>
                    </w:rPr>
                  </w:pPr>
                  <w:r>
                    <w:rPr>
                      <w:rFonts w:hint="eastAsia"/>
                      <w:b w:val="0"/>
                      <w:bCs/>
                      <w:color w:val="auto"/>
                      <w:kern w:val="0"/>
                      <w:szCs w:val="21"/>
                      <w:lang w:val="en-US" w:eastAsia="zh-CN"/>
                    </w:rPr>
                    <w:t>公用工程</w:t>
                  </w:r>
                </w:p>
              </w:tc>
              <w:tc>
                <w:tcPr>
                  <w:tcW w:w="518" w:type="pct"/>
                  <w:vAlign w:val="center"/>
                </w:tcPr>
                <w:p>
                  <w:pPr>
                    <w:jc w:val="center"/>
                    <w:rPr>
                      <w:color w:val="auto"/>
                      <w:szCs w:val="21"/>
                    </w:rPr>
                  </w:pPr>
                  <w:r>
                    <w:rPr>
                      <w:rFonts w:hint="eastAsia"/>
                      <w:color w:val="auto"/>
                      <w:szCs w:val="21"/>
                    </w:rPr>
                    <w:t>给水</w:t>
                  </w:r>
                </w:p>
              </w:tc>
              <w:tc>
                <w:tcPr>
                  <w:tcW w:w="3570" w:type="pct"/>
                  <w:vAlign w:val="center"/>
                </w:tcPr>
                <w:p>
                  <w:pPr>
                    <w:jc w:val="center"/>
                    <w:rPr>
                      <w:rFonts w:hint="default" w:eastAsia="宋体"/>
                      <w:color w:val="auto"/>
                      <w:kern w:val="0"/>
                      <w:szCs w:val="21"/>
                      <w:lang w:val="en-US" w:eastAsia="zh-CN"/>
                    </w:rPr>
                  </w:pPr>
                  <w:r>
                    <w:rPr>
                      <w:rFonts w:hint="eastAsia"/>
                      <w:color w:val="auto"/>
                      <w:kern w:val="0"/>
                      <w:szCs w:val="21"/>
                      <w:lang w:val="en-US" w:eastAsia="zh-CN"/>
                    </w:rPr>
                    <w:t>依托园区供水管网</w:t>
                  </w:r>
                </w:p>
              </w:tc>
              <w:tc>
                <w:tcPr>
                  <w:tcW w:w="651" w:type="pct"/>
                  <w:vAlign w:val="center"/>
                </w:tcPr>
                <w:p>
                  <w:pPr>
                    <w:adjustRightInd w:val="0"/>
                    <w:jc w:val="center"/>
                    <w:rPr>
                      <w:rFonts w:hint="default" w:eastAsia="宋体"/>
                      <w:color w:val="auto"/>
                      <w:kern w:val="0"/>
                      <w:szCs w:val="21"/>
                      <w:lang w:val="en-US" w:eastAsia="zh-CN"/>
                    </w:rPr>
                  </w:pPr>
                  <w:r>
                    <w:rPr>
                      <w:rFonts w:hint="eastAsia"/>
                      <w:color w:val="auto"/>
                      <w:kern w:val="0"/>
                      <w:szCs w:val="21"/>
                      <w:lang w:val="en-US" w:eastAsia="zh-CN"/>
                    </w:rPr>
                    <w:t>依托园区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b w:val="0"/>
                      <w:bCs/>
                      <w:color w:val="auto"/>
                      <w:kern w:val="0"/>
                      <w:szCs w:val="21"/>
                    </w:rPr>
                  </w:pPr>
                </w:p>
              </w:tc>
              <w:tc>
                <w:tcPr>
                  <w:tcW w:w="518" w:type="pct"/>
                  <w:vAlign w:val="center"/>
                </w:tcPr>
                <w:p>
                  <w:pPr>
                    <w:jc w:val="center"/>
                    <w:rPr>
                      <w:color w:val="auto"/>
                      <w:szCs w:val="21"/>
                    </w:rPr>
                  </w:pPr>
                  <w:r>
                    <w:rPr>
                      <w:rFonts w:hint="eastAsia"/>
                      <w:color w:val="auto"/>
                      <w:szCs w:val="21"/>
                    </w:rPr>
                    <w:t>排水</w:t>
                  </w:r>
                </w:p>
              </w:tc>
              <w:tc>
                <w:tcPr>
                  <w:tcW w:w="3570" w:type="pct"/>
                  <w:vAlign w:val="center"/>
                </w:tcPr>
                <w:p>
                  <w:pPr>
                    <w:jc w:val="center"/>
                    <w:rPr>
                      <w:rFonts w:hint="default"/>
                      <w:color w:val="auto"/>
                      <w:kern w:val="0"/>
                      <w:szCs w:val="21"/>
                      <w:lang w:val="en-US"/>
                    </w:rPr>
                  </w:pPr>
                  <w:r>
                    <w:rPr>
                      <w:rFonts w:hint="eastAsia"/>
                      <w:color w:val="auto"/>
                      <w:kern w:val="0"/>
                      <w:szCs w:val="21"/>
                      <w:lang w:val="en-US" w:eastAsia="zh-CN"/>
                    </w:rPr>
                    <w:t>生活污水经园区化粪池处理后排放到市政污水管网</w:t>
                  </w:r>
                </w:p>
              </w:tc>
              <w:tc>
                <w:tcPr>
                  <w:tcW w:w="651" w:type="pct"/>
                  <w:vAlign w:val="center"/>
                </w:tcPr>
                <w:p>
                  <w:pPr>
                    <w:adjustRightInd w:val="0"/>
                    <w:jc w:val="center"/>
                    <w:rPr>
                      <w:color w:val="auto"/>
                      <w:kern w:val="0"/>
                      <w:szCs w:val="21"/>
                    </w:rPr>
                  </w:pPr>
                  <w:r>
                    <w:rPr>
                      <w:rFonts w:hint="eastAsia"/>
                      <w:color w:val="auto"/>
                      <w:kern w:val="0"/>
                      <w:szCs w:val="21"/>
                      <w:lang w:val="en-US" w:eastAsia="zh-CN"/>
                    </w:rPr>
                    <w:t>依托园区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b w:val="0"/>
                      <w:bCs/>
                      <w:color w:val="auto"/>
                      <w:kern w:val="0"/>
                      <w:szCs w:val="21"/>
                    </w:rPr>
                  </w:pPr>
                </w:p>
              </w:tc>
              <w:tc>
                <w:tcPr>
                  <w:tcW w:w="518" w:type="pct"/>
                  <w:vAlign w:val="center"/>
                </w:tcPr>
                <w:p>
                  <w:pPr>
                    <w:jc w:val="center"/>
                    <w:rPr>
                      <w:color w:val="auto"/>
                      <w:szCs w:val="21"/>
                    </w:rPr>
                  </w:pPr>
                  <w:r>
                    <w:rPr>
                      <w:rFonts w:hint="eastAsia"/>
                      <w:color w:val="auto"/>
                      <w:szCs w:val="21"/>
                    </w:rPr>
                    <w:t>供电</w:t>
                  </w:r>
                </w:p>
              </w:tc>
              <w:tc>
                <w:tcPr>
                  <w:tcW w:w="3570" w:type="pct"/>
                  <w:vAlign w:val="center"/>
                </w:tcPr>
                <w:p>
                  <w:pPr>
                    <w:jc w:val="center"/>
                    <w:rPr>
                      <w:rFonts w:hint="default" w:eastAsia="宋体"/>
                      <w:color w:val="auto"/>
                      <w:kern w:val="0"/>
                      <w:szCs w:val="21"/>
                      <w:lang w:val="en-US" w:eastAsia="zh-CN"/>
                    </w:rPr>
                  </w:pPr>
                  <w:r>
                    <w:rPr>
                      <w:rFonts w:hint="eastAsia"/>
                      <w:color w:val="auto"/>
                      <w:szCs w:val="22"/>
                      <w:lang w:val="en-US" w:eastAsia="zh-CN"/>
                    </w:rPr>
                    <w:t>依托园区供电系统</w:t>
                  </w:r>
                </w:p>
              </w:tc>
              <w:tc>
                <w:tcPr>
                  <w:tcW w:w="651" w:type="pct"/>
                  <w:vAlign w:val="center"/>
                </w:tcPr>
                <w:p>
                  <w:pPr>
                    <w:adjustRightInd w:val="0"/>
                    <w:jc w:val="center"/>
                    <w:rPr>
                      <w:color w:val="auto"/>
                      <w:kern w:val="0"/>
                      <w:szCs w:val="21"/>
                    </w:rPr>
                  </w:pPr>
                  <w:r>
                    <w:rPr>
                      <w:rFonts w:hint="eastAsia"/>
                      <w:color w:val="auto"/>
                      <w:kern w:val="0"/>
                      <w:szCs w:val="21"/>
                      <w:lang w:val="en-US" w:eastAsia="zh-CN"/>
                    </w:rPr>
                    <w:t>依托园区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b w:val="0"/>
                      <w:bCs/>
                      <w:color w:val="auto"/>
                      <w:kern w:val="0"/>
                      <w:szCs w:val="21"/>
                    </w:rPr>
                  </w:pPr>
                </w:p>
              </w:tc>
              <w:tc>
                <w:tcPr>
                  <w:tcW w:w="518" w:type="pct"/>
                  <w:vAlign w:val="center"/>
                </w:tcPr>
                <w:p>
                  <w:pPr>
                    <w:jc w:val="center"/>
                    <w:rPr>
                      <w:color w:val="auto"/>
                      <w:szCs w:val="21"/>
                    </w:rPr>
                  </w:pPr>
                  <w:r>
                    <w:rPr>
                      <w:rFonts w:hint="eastAsia"/>
                      <w:color w:val="auto"/>
                      <w:szCs w:val="21"/>
                    </w:rPr>
                    <w:t>供热制冷</w:t>
                  </w:r>
                </w:p>
              </w:tc>
              <w:tc>
                <w:tcPr>
                  <w:tcW w:w="3570" w:type="pct"/>
                  <w:vAlign w:val="center"/>
                </w:tcPr>
                <w:p>
                  <w:pPr>
                    <w:jc w:val="center"/>
                    <w:rPr>
                      <w:rFonts w:hint="default" w:eastAsia="宋体"/>
                      <w:color w:val="auto"/>
                      <w:szCs w:val="22"/>
                      <w:lang w:val="en-US" w:eastAsia="zh-CN"/>
                    </w:rPr>
                  </w:pPr>
                  <w:r>
                    <w:rPr>
                      <w:rFonts w:hint="eastAsia"/>
                      <w:color w:val="auto"/>
                      <w:szCs w:val="22"/>
                      <w:lang w:val="en-US" w:eastAsia="zh-CN"/>
                    </w:rPr>
                    <w:t>采用中央空调集中供暖制冷</w:t>
                  </w:r>
                </w:p>
              </w:tc>
              <w:tc>
                <w:tcPr>
                  <w:tcW w:w="651" w:type="pct"/>
                  <w:vAlign w:val="center"/>
                </w:tcPr>
                <w:p>
                  <w:pPr>
                    <w:bidi w:val="0"/>
                    <w:jc w:val="center"/>
                    <w:rPr>
                      <w:rFonts w:hint="default" w:eastAsiaTheme="majorEastAsia"/>
                      <w:color w:val="auto"/>
                      <w:lang w:val="en-US" w:eastAsia="zh-CN"/>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restart"/>
                  <w:vAlign w:val="center"/>
                </w:tcPr>
                <w:p>
                  <w:pPr>
                    <w:jc w:val="center"/>
                    <w:rPr>
                      <w:b w:val="0"/>
                      <w:bCs/>
                      <w:color w:val="auto"/>
                      <w:kern w:val="0"/>
                      <w:szCs w:val="21"/>
                    </w:rPr>
                  </w:pPr>
                  <w:r>
                    <w:rPr>
                      <w:rFonts w:hint="eastAsia"/>
                      <w:b w:val="0"/>
                      <w:bCs/>
                      <w:color w:val="auto"/>
                      <w:kern w:val="0"/>
                      <w:szCs w:val="21"/>
                    </w:rPr>
                    <w:t>环保工程</w:t>
                  </w:r>
                </w:p>
              </w:tc>
              <w:tc>
                <w:tcPr>
                  <w:tcW w:w="518" w:type="pct"/>
                  <w:vAlign w:val="center"/>
                </w:tcPr>
                <w:p>
                  <w:pPr>
                    <w:jc w:val="center"/>
                    <w:rPr>
                      <w:color w:val="auto"/>
                      <w:sz w:val="21"/>
                      <w:szCs w:val="21"/>
                      <w:highlight w:val="none"/>
                    </w:rPr>
                  </w:pPr>
                  <w:r>
                    <w:rPr>
                      <w:rFonts w:hint="eastAsia"/>
                      <w:color w:val="auto"/>
                      <w:sz w:val="21"/>
                      <w:szCs w:val="21"/>
                      <w:highlight w:val="none"/>
                    </w:rPr>
                    <w:t>废气治理</w:t>
                  </w:r>
                </w:p>
              </w:tc>
              <w:tc>
                <w:tcPr>
                  <w:tcW w:w="3570" w:type="pct"/>
                  <w:vAlign w:val="center"/>
                </w:tcPr>
                <w:p>
                  <w:pPr>
                    <w:spacing w:line="240" w:lineRule="auto"/>
                    <w:ind w:firstLine="0" w:firstLineChars="0"/>
                    <w:jc w:val="left"/>
                    <w:rPr>
                      <w:rFonts w:hint="default"/>
                      <w:color w:val="auto"/>
                      <w:sz w:val="21"/>
                      <w:szCs w:val="21"/>
                      <w:highlight w:val="none"/>
                      <w:lang w:val="en-US"/>
                    </w:rPr>
                  </w:pPr>
                  <w:r>
                    <w:rPr>
                      <w:rFonts w:hint="eastAsia"/>
                      <w:color w:val="auto"/>
                      <w:sz w:val="21"/>
                      <w:szCs w:val="21"/>
                      <w:highlight w:val="none"/>
                    </w:rPr>
                    <w:t>回流焊封闭加盖</w:t>
                  </w:r>
                  <w:r>
                    <w:rPr>
                      <w:rFonts w:hint="eastAsia"/>
                      <w:color w:val="auto"/>
                      <w:sz w:val="21"/>
                      <w:szCs w:val="21"/>
                      <w:highlight w:val="none"/>
                      <w:lang w:val="en-US" w:eastAsia="zh-CN"/>
                    </w:rPr>
                    <w:t>废气负压收集</w:t>
                  </w:r>
                  <w:r>
                    <w:rPr>
                      <w:rFonts w:hint="eastAsia"/>
                      <w:color w:val="auto"/>
                      <w:sz w:val="21"/>
                      <w:szCs w:val="21"/>
                      <w:highlight w:val="none"/>
                      <w:lang w:eastAsia="zh-CN"/>
                    </w:rPr>
                    <w:t>（</w:t>
                  </w:r>
                  <w:r>
                    <w:rPr>
                      <w:rFonts w:hint="eastAsia"/>
                      <w:color w:val="auto"/>
                      <w:sz w:val="21"/>
                      <w:szCs w:val="21"/>
                      <w:highlight w:val="none"/>
                      <w:lang w:val="en-US" w:eastAsia="zh-CN"/>
                    </w:rPr>
                    <w:t>仅预留物料进出口，开口切面为0.5m×0.1m</w:t>
                  </w:r>
                  <w:r>
                    <w:rPr>
                      <w:rFonts w:hint="eastAsia"/>
                      <w:color w:val="auto"/>
                      <w:sz w:val="21"/>
                      <w:szCs w:val="21"/>
                      <w:highlight w:val="none"/>
                      <w:lang w:eastAsia="zh-CN"/>
                    </w:rPr>
                    <w:t>）</w:t>
                  </w:r>
                  <w:r>
                    <w:rPr>
                      <w:rFonts w:hint="eastAsia"/>
                      <w:color w:val="auto"/>
                      <w:sz w:val="21"/>
                      <w:szCs w:val="21"/>
                      <w:highlight w:val="none"/>
                    </w:rPr>
                    <w:t>、</w:t>
                  </w:r>
                  <w:r>
                    <w:rPr>
                      <w:rFonts w:hint="eastAsia" w:cs="Times New Roman"/>
                      <w:color w:val="auto"/>
                      <w:sz w:val="21"/>
                      <w:szCs w:val="21"/>
                      <w:highlight w:val="none"/>
                      <w:lang w:val="en-US" w:eastAsia="zh-CN"/>
                    </w:rPr>
                    <w:t>非高压热压夹层机</w:t>
                  </w:r>
                  <w:r>
                    <w:rPr>
                      <w:rFonts w:hint="eastAsia"/>
                      <w:color w:val="auto"/>
                      <w:sz w:val="21"/>
                      <w:szCs w:val="21"/>
                      <w:highlight w:val="none"/>
                      <w:lang w:val="en-US" w:eastAsia="zh-CN"/>
                    </w:rPr>
                    <w:t>生产过程中需要对设备内抽真空，</w:t>
                  </w:r>
                  <w:r>
                    <w:rPr>
                      <w:rFonts w:hint="eastAsia"/>
                      <w:color w:val="auto"/>
                      <w:sz w:val="21"/>
                      <w:szCs w:val="21"/>
                      <w:highlight w:val="none"/>
                    </w:rPr>
                    <w:t>收集的废气经</w:t>
                  </w:r>
                  <w:r>
                    <w:rPr>
                      <w:rFonts w:hint="eastAsia"/>
                      <w:color w:val="auto"/>
                      <w:sz w:val="21"/>
                      <w:szCs w:val="21"/>
                      <w:highlight w:val="none"/>
                      <w:lang w:val="en-US" w:eastAsia="zh-CN"/>
                    </w:rPr>
                    <w:t>风冷后由3M</w:t>
                  </w:r>
                  <w:r>
                    <w:rPr>
                      <w:rFonts w:hint="eastAsia"/>
                      <w:color w:val="auto"/>
                      <w:sz w:val="21"/>
                      <w:szCs w:val="21"/>
                      <w:highlight w:val="none"/>
                    </w:rPr>
                    <w:t>过滤棉+二级活性炭吸附处理后</w:t>
                  </w:r>
                  <w:r>
                    <w:rPr>
                      <w:rFonts w:hint="eastAsia"/>
                      <w:color w:val="auto"/>
                      <w:sz w:val="21"/>
                      <w:szCs w:val="21"/>
                      <w:highlight w:val="none"/>
                      <w:lang w:val="en-US" w:eastAsia="zh-CN"/>
                    </w:rPr>
                    <w:t>再经一根排气筒引至楼顶排放。</w:t>
                  </w:r>
                </w:p>
                <w:p>
                  <w:pPr>
                    <w:spacing w:line="240" w:lineRule="auto"/>
                    <w:ind w:firstLine="0" w:firstLineChars="0"/>
                    <w:jc w:val="left"/>
                    <w:rPr>
                      <w:color w:val="auto"/>
                      <w:sz w:val="21"/>
                      <w:szCs w:val="21"/>
                      <w:highlight w:val="none"/>
                    </w:rPr>
                  </w:pPr>
                  <w:r>
                    <w:rPr>
                      <w:rFonts w:hint="eastAsia" w:cs="Times New Roman"/>
                      <w:color w:val="auto"/>
                      <w:kern w:val="2"/>
                      <w:sz w:val="21"/>
                      <w:szCs w:val="21"/>
                      <w:highlight w:val="none"/>
                      <w:lang w:val="en-US" w:eastAsia="zh-CN" w:bidi="ar-SA"/>
                    </w:rPr>
                    <w:t>单晶硅片串焊机、人工补焊机（焊接电源、控制芯片）等采用移动式焊烟净化器处理后车间内无组织排放，车间内共设置21台换气扇进行强制通风。</w:t>
                  </w:r>
                </w:p>
              </w:tc>
              <w:tc>
                <w:tcPr>
                  <w:tcW w:w="651" w:type="pct"/>
                  <w:vAlign w:val="center"/>
                </w:tcPr>
                <w:p>
                  <w:pPr>
                    <w:adjustRightInd w:val="0"/>
                    <w:jc w:val="center"/>
                    <w:rPr>
                      <w:rFonts w:hint="eastAsia" w:eastAsia="宋体"/>
                      <w:color w:val="auto"/>
                      <w:lang w:val="en-US" w:eastAsia="zh-CN"/>
                    </w:rPr>
                  </w:pPr>
                  <w:r>
                    <w:rPr>
                      <w:rFonts w:hint="eastAsia"/>
                      <w:color w:val="auto"/>
                      <w:kern w:val="0"/>
                      <w:szCs w:val="21"/>
                    </w:rPr>
                    <w:t>新建</w:t>
                  </w:r>
                  <w:r>
                    <w:rPr>
                      <w:rFonts w:hint="eastAsia"/>
                      <w:color w:val="auto"/>
                      <w:kern w:val="0"/>
                      <w:szCs w:val="21"/>
                      <w:lang w:eastAsia="zh-CN"/>
                    </w:rPr>
                    <w:t>（</w:t>
                  </w:r>
                  <w:r>
                    <w:rPr>
                      <w:rFonts w:hint="eastAsia"/>
                      <w:color w:val="auto"/>
                      <w:kern w:val="0"/>
                      <w:szCs w:val="21"/>
                      <w:lang w:val="en-US" w:eastAsia="zh-CN"/>
                    </w:rPr>
                    <w:t>换气扇已有</w:t>
                  </w:r>
                  <w:r>
                    <w:rPr>
                      <w:rFonts w:hint="eastAsia"/>
                      <w:color w:val="auto"/>
                      <w:kern w:val="0"/>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b/>
                      <w:color w:val="auto"/>
                      <w:kern w:val="0"/>
                      <w:szCs w:val="21"/>
                    </w:rPr>
                  </w:pPr>
                </w:p>
              </w:tc>
              <w:tc>
                <w:tcPr>
                  <w:tcW w:w="518" w:type="pct"/>
                  <w:vAlign w:val="center"/>
                </w:tcPr>
                <w:p>
                  <w:pPr>
                    <w:jc w:val="center"/>
                    <w:rPr>
                      <w:color w:val="auto"/>
                      <w:szCs w:val="21"/>
                    </w:rPr>
                  </w:pPr>
                  <w:r>
                    <w:rPr>
                      <w:rFonts w:hint="eastAsia"/>
                      <w:color w:val="auto"/>
                      <w:szCs w:val="21"/>
                    </w:rPr>
                    <w:t>废水治理</w:t>
                  </w:r>
                </w:p>
              </w:tc>
              <w:tc>
                <w:tcPr>
                  <w:tcW w:w="3570" w:type="pct"/>
                  <w:vAlign w:val="center"/>
                </w:tcPr>
                <w:p>
                  <w:pPr>
                    <w:jc w:val="center"/>
                    <w:rPr>
                      <w:rFonts w:hint="eastAsia" w:eastAsia="宋体"/>
                      <w:color w:val="auto"/>
                      <w:kern w:val="0"/>
                      <w:szCs w:val="21"/>
                      <w:lang w:val="en-US" w:eastAsia="zh-CN"/>
                    </w:rPr>
                  </w:pPr>
                  <w:r>
                    <w:rPr>
                      <w:color w:val="auto"/>
                      <w:sz w:val="21"/>
                      <w:szCs w:val="21"/>
                    </w:rPr>
                    <w:t>生活污水</w:t>
                  </w:r>
                  <w:r>
                    <w:rPr>
                      <w:rFonts w:hint="eastAsia"/>
                      <w:color w:val="auto"/>
                      <w:sz w:val="21"/>
                      <w:szCs w:val="21"/>
                      <w:lang w:val="en-US" w:eastAsia="zh-CN"/>
                    </w:rPr>
                    <w:t>依托园区化粪池处理后</w:t>
                  </w:r>
                  <w:r>
                    <w:rPr>
                      <w:color w:val="auto"/>
                      <w:sz w:val="21"/>
                      <w:szCs w:val="21"/>
                    </w:rPr>
                    <w:t>经市政管网排至泾河新城第二污水处理厂进行处理</w:t>
                  </w:r>
                </w:p>
              </w:tc>
              <w:tc>
                <w:tcPr>
                  <w:tcW w:w="651" w:type="pct"/>
                  <w:vAlign w:val="center"/>
                </w:tcPr>
                <w:p>
                  <w:pPr>
                    <w:adjustRightInd w:val="0"/>
                    <w:jc w:val="center"/>
                    <w:rPr>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color w:val="auto"/>
                      <w:kern w:val="0"/>
                      <w:szCs w:val="21"/>
                    </w:rPr>
                  </w:pPr>
                </w:p>
              </w:tc>
              <w:tc>
                <w:tcPr>
                  <w:tcW w:w="518" w:type="pct"/>
                  <w:vAlign w:val="center"/>
                </w:tcPr>
                <w:p>
                  <w:pPr>
                    <w:jc w:val="center"/>
                    <w:rPr>
                      <w:color w:val="auto"/>
                      <w:kern w:val="0"/>
                      <w:szCs w:val="21"/>
                    </w:rPr>
                  </w:pPr>
                  <w:r>
                    <w:rPr>
                      <w:rFonts w:hint="eastAsia"/>
                      <w:color w:val="auto"/>
                      <w:kern w:val="0"/>
                      <w:szCs w:val="21"/>
                    </w:rPr>
                    <w:t>噪声治理</w:t>
                  </w:r>
                </w:p>
              </w:tc>
              <w:tc>
                <w:tcPr>
                  <w:tcW w:w="3570" w:type="pct"/>
                  <w:vAlign w:val="center"/>
                </w:tcPr>
                <w:p>
                  <w:pPr>
                    <w:jc w:val="center"/>
                    <w:rPr>
                      <w:color w:val="auto"/>
                      <w:kern w:val="0"/>
                      <w:szCs w:val="21"/>
                    </w:rPr>
                  </w:pPr>
                  <w:r>
                    <w:rPr>
                      <w:rFonts w:hint="eastAsia"/>
                      <w:color w:val="auto"/>
                    </w:rPr>
                    <w:t>选择低噪声设备，</w:t>
                  </w:r>
                  <w:r>
                    <w:rPr>
                      <w:color w:val="auto"/>
                    </w:rPr>
                    <w:t>基础减震，定期检查更换老旧设备</w:t>
                  </w:r>
                  <w:r>
                    <w:rPr>
                      <w:rFonts w:hint="eastAsia"/>
                      <w:color w:val="auto"/>
                    </w:rPr>
                    <w:t>，封闭厂房、</w:t>
                  </w:r>
                  <w:r>
                    <w:rPr>
                      <w:rFonts w:hint="eastAsia"/>
                      <w:color w:val="auto"/>
                      <w:lang w:val="en-US" w:eastAsia="zh-CN"/>
                    </w:rPr>
                    <w:t>排风机单独设置排烟机房</w:t>
                  </w:r>
                  <w:r>
                    <w:rPr>
                      <w:rFonts w:hint="eastAsia"/>
                      <w:color w:val="auto"/>
                    </w:rPr>
                    <w:t>。</w:t>
                  </w:r>
                </w:p>
              </w:tc>
              <w:tc>
                <w:tcPr>
                  <w:tcW w:w="651" w:type="pct"/>
                  <w:vAlign w:val="center"/>
                </w:tcPr>
                <w:p>
                  <w:pPr>
                    <w:adjustRightInd w:val="0"/>
                    <w:jc w:val="center"/>
                    <w:rPr>
                      <w:rFonts w:ascii="Times New Roman" w:hAnsi="Times New Roman"/>
                      <w:color w:val="auto"/>
                      <w:kern w:val="0"/>
                      <w:szCs w:val="21"/>
                    </w:rPr>
                  </w:pPr>
                  <w:r>
                    <w:rPr>
                      <w:rFonts w:hint="eastAsia"/>
                      <w:color w:val="auto"/>
                      <w:kern w:val="0"/>
                      <w:szCs w:val="21"/>
                    </w:rPr>
                    <w:t>新建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9" w:type="pct"/>
                  <w:vMerge w:val="continue"/>
                  <w:vAlign w:val="center"/>
                </w:tcPr>
                <w:p>
                  <w:pPr>
                    <w:jc w:val="center"/>
                    <w:rPr>
                      <w:color w:val="auto"/>
                      <w:kern w:val="0"/>
                      <w:szCs w:val="21"/>
                    </w:rPr>
                  </w:pPr>
                </w:p>
              </w:tc>
              <w:tc>
                <w:tcPr>
                  <w:tcW w:w="518" w:type="pct"/>
                  <w:vAlign w:val="center"/>
                </w:tcPr>
                <w:p>
                  <w:pPr>
                    <w:jc w:val="center"/>
                    <w:rPr>
                      <w:color w:val="auto"/>
                      <w:kern w:val="0"/>
                      <w:szCs w:val="21"/>
                    </w:rPr>
                  </w:pPr>
                  <w:r>
                    <w:rPr>
                      <w:rFonts w:hint="eastAsia"/>
                      <w:color w:val="auto"/>
                      <w:kern w:val="0"/>
                      <w:szCs w:val="21"/>
                    </w:rPr>
                    <w:t>固废处置</w:t>
                  </w:r>
                </w:p>
              </w:tc>
              <w:tc>
                <w:tcPr>
                  <w:tcW w:w="3570" w:type="pct"/>
                  <w:vAlign w:val="center"/>
                </w:tcPr>
                <w:p>
                  <w:pPr>
                    <w:jc w:val="center"/>
                    <w:rPr>
                      <w:color w:val="auto"/>
                      <w:kern w:val="0"/>
                      <w:szCs w:val="21"/>
                    </w:rPr>
                  </w:pPr>
                  <w:r>
                    <w:rPr>
                      <w:rStyle w:val="113"/>
                      <w:rFonts w:hint="eastAsia" w:hAnsi="Times New Roman"/>
                      <w:i w:val="0"/>
                      <w:iCs w:val="0"/>
                      <w:color w:val="auto"/>
                      <w:szCs w:val="21"/>
                    </w:rPr>
                    <w:t>生活垃圾分类收集定期由环卫部门清运；一般工业固废收集后外售综合利用；危险废物分类收集，暂存危险废物暂存</w:t>
                  </w:r>
                  <w:r>
                    <w:rPr>
                      <w:rStyle w:val="113"/>
                      <w:rFonts w:hint="eastAsia" w:hAnsi="Times New Roman"/>
                      <w:i w:val="0"/>
                      <w:iCs w:val="0"/>
                      <w:color w:val="auto"/>
                      <w:szCs w:val="21"/>
                      <w:lang w:val="en-US" w:eastAsia="zh-CN"/>
                    </w:rPr>
                    <w:t>库</w:t>
                  </w:r>
                  <w:r>
                    <w:rPr>
                      <w:rStyle w:val="113"/>
                      <w:rFonts w:hint="eastAsia" w:hAnsi="Times New Roman"/>
                      <w:i w:val="0"/>
                      <w:iCs w:val="0"/>
                      <w:color w:val="auto"/>
                      <w:szCs w:val="21"/>
                    </w:rPr>
                    <w:t>，定期交由有危废处理资质单位回收处理，危险废物暂存</w:t>
                  </w:r>
                  <w:r>
                    <w:rPr>
                      <w:rStyle w:val="113"/>
                      <w:rFonts w:hint="eastAsia" w:hAnsi="Times New Roman"/>
                      <w:i w:val="0"/>
                      <w:iCs w:val="0"/>
                      <w:color w:val="auto"/>
                      <w:szCs w:val="21"/>
                      <w:lang w:val="en-US" w:eastAsia="zh-CN"/>
                    </w:rPr>
                    <w:t>库</w:t>
                  </w:r>
                  <w:r>
                    <w:rPr>
                      <w:rStyle w:val="113"/>
                      <w:rFonts w:hint="eastAsia" w:hAnsi="Times New Roman"/>
                      <w:i w:val="0"/>
                      <w:iCs w:val="0"/>
                      <w:color w:val="auto"/>
                      <w:szCs w:val="21"/>
                    </w:rPr>
                    <w:t>设置在</w:t>
                  </w:r>
                  <w:r>
                    <w:rPr>
                      <w:rStyle w:val="113"/>
                      <w:rFonts w:hint="eastAsia" w:hAnsi="Times New Roman"/>
                      <w:i w:val="0"/>
                      <w:iCs w:val="0"/>
                      <w:color w:val="auto"/>
                      <w:szCs w:val="21"/>
                      <w:lang w:val="en-US" w:eastAsia="zh-CN"/>
                    </w:rPr>
                    <w:t>一层卸车区</w:t>
                  </w:r>
                  <w:r>
                    <w:rPr>
                      <w:rStyle w:val="113"/>
                      <w:rFonts w:hint="eastAsia"/>
                      <w:i w:val="0"/>
                      <w:iCs w:val="0"/>
                      <w:color w:val="auto"/>
                      <w:szCs w:val="21"/>
                      <w:lang w:val="en-US" w:eastAsia="zh-CN"/>
                    </w:rPr>
                    <w:t>东侧</w:t>
                  </w:r>
                  <w:r>
                    <w:rPr>
                      <w:rStyle w:val="113"/>
                      <w:rFonts w:hint="eastAsia" w:hAnsi="Times New Roman"/>
                      <w:i w:val="0"/>
                      <w:iCs w:val="0"/>
                      <w:color w:val="auto"/>
                      <w:szCs w:val="21"/>
                    </w:rPr>
                    <w:t>，面积</w:t>
                  </w:r>
                  <w:r>
                    <w:rPr>
                      <w:rStyle w:val="113"/>
                      <w:rFonts w:hint="eastAsia" w:hAnsi="Times New Roman"/>
                      <w:i w:val="0"/>
                      <w:iCs w:val="0"/>
                      <w:color w:val="auto"/>
                      <w:szCs w:val="21"/>
                      <w:lang w:val="en-US" w:eastAsia="zh-CN"/>
                    </w:rPr>
                    <w:t>约1</w:t>
                  </w:r>
                  <w:r>
                    <w:rPr>
                      <w:rStyle w:val="113"/>
                      <w:rFonts w:hAnsi="Times New Roman"/>
                      <w:i w:val="0"/>
                      <w:iCs w:val="0"/>
                      <w:color w:val="auto"/>
                      <w:szCs w:val="21"/>
                    </w:rPr>
                    <w:t>0m</w:t>
                  </w:r>
                  <w:r>
                    <w:rPr>
                      <w:rStyle w:val="113"/>
                      <w:rFonts w:hAnsi="Times New Roman"/>
                      <w:i w:val="0"/>
                      <w:iCs w:val="0"/>
                      <w:color w:val="auto"/>
                      <w:szCs w:val="21"/>
                      <w:vertAlign w:val="superscript"/>
                    </w:rPr>
                    <w:t>2</w:t>
                  </w:r>
                  <w:r>
                    <w:rPr>
                      <w:rFonts w:hint="eastAsia"/>
                      <w:color w:val="auto"/>
                    </w:rPr>
                    <w:t>。</w:t>
                  </w:r>
                </w:p>
              </w:tc>
              <w:tc>
                <w:tcPr>
                  <w:tcW w:w="651" w:type="pct"/>
                  <w:vAlign w:val="center"/>
                </w:tcPr>
                <w:p>
                  <w:pPr>
                    <w:adjustRightInd w:val="0"/>
                    <w:jc w:val="center"/>
                    <w:rPr>
                      <w:color w:val="auto"/>
                      <w:kern w:val="0"/>
                      <w:szCs w:val="21"/>
                    </w:rPr>
                  </w:pPr>
                  <w:r>
                    <w:rPr>
                      <w:rFonts w:hint="eastAsia"/>
                      <w:color w:val="auto"/>
                      <w:kern w:val="0"/>
                      <w:szCs w:val="21"/>
                    </w:rPr>
                    <w:t>新建</w:t>
                  </w:r>
                </w:p>
              </w:tc>
            </w:tr>
          </w:tbl>
          <w:p>
            <w:pPr>
              <w:spacing w:line="360" w:lineRule="auto"/>
              <w:ind w:firstLine="482" w:firstLineChars="200"/>
              <w:rPr>
                <w:b/>
                <w:bCs/>
                <w:color w:val="auto"/>
                <w:sz w:val="24"/>
              </w:rPr>
            </w:pPr>
            <w:r>
              <w:rPr>
                <w:rFonts w:hint="eastAsia"/>
                <w:b/>
                <w:bCs/>
                <w:color w:val="auto"/>
                <w:sz w:val="24"/>
              </w:rPr>
              <w:t>4、主要生产设备</w:t>
            </w:r>
          </w:p>
          <w:p>
            <w:pPr>
              <w:spacing w:line="360" w:lineRule="auto"/>
              <w:ind w:firstLine="480" w:firstLineChars="200"/>
              <w:jc w:val="left"/>
              <w:rPr>
                <w:color w:val="auto"/>
                <w:sz w:val="24"/>
              </w:rPr>
            </w:pPr>
            <w:r>
              <w:rPr>
                <w:color w:val="auto"/>
                <w:sz w:val="24"/>
              </w:rPr>
              <w:t>本项目主要生产设备见表2-</w:t>
            </w:r>
            <w:r>
              <w:rPr>
                <w:rFonts w:hint="eastAsia"/>
                <w:color w:val="auto"/>
                <w:sz w:val="24"/>
              </w:rPr>
              <w:t>2</w:t>
            </w:r>
            <w:r>
              <w:rPr>
                <w:color w:val="auto"/>
                <w:sz w:val="24"/>
              </w:rPr>
              <w:t>。</w:t>
            </w:r>
          </w:p>
          <w:p>
            <w:pPr>
              <w:ind w:firstLine="422" w:firstLineChars="200"/>
              <w:jc w:val="center"/>
              <w:rPr>
                <w:b/>
                <w:color w:val="auto"/>
                <w:szCs w:val="21"/>
              </w:rPr>
            </w:pPr>
            <w:r>
              <w:rPr>
                <w:b/>
                <w:color w:val="auto"/>
                <w:szCs w:val="21"/>
              </w:rPr>
              <w:t>表2-</w:t>
            </w:r>
            <w:r>
              <w:rPr>
                <w:rFonts w:hint="eastAsia"/>
                <w:b/>
                <w:color w:val="auto"/>
                <w:szCs w:val="21"/>
              </w:rPr>
              <w:t>2</w:t>
            </w:r>
            <w:r>
              <w:rPr>
                <w:b/>
                <w:color w:val="auto"/>
                <w:szCs w:val="21"/>
              </w:rPr>
              <w:t xml:space="preserve">   项目主要生产设备</w:t>
            </w:r>
            <w:r>
              <w:rPr>
                <w:rFonts w:hint="eastAsia"/>
                <w:b/>
                <w:color w:val="auto"/>
                <w:szCs w:val="21"/>
              </w:rPr>
              <w:t>表</w:t>
            </w:r>
          </w:p>
          <w:tbl>
            <w:tblPr>
              <w:tblStyle w:val="29"/>
              <w:tblW w:w="8206"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3149"/>
              <w:gridCol w:w="1750"/>
              <w:gridCol w:w="1250"/>
              <w:gridCol w:w="107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color w:val="auto"/>
                      <w:highlight w:val="none"/>
                    </w:rPr>
                  </w:pPr>
                  <w:r>
                    <w:rPr>
                      <w:color w:val="auto"/>
                      <w:highlight w:val="none"/>
                    </w:rPr>
                    <w:t>序号</w:t>
                  </w:r>
                </w:p>
              </w:tc>
              <w:tc>
                <w:tcPr>
                  <w:tcW w:w="3149" w:type="dxa"/>
                  <w:tcBorders>
                    <w:tl2br w:val="nil"/>
                    <w:tr2bl w:val="nil"/>
                  </w:tcBorders>
                  <w:vAlign w:val="center"/>
                </w:tcPr>
                <w:p>
                  <w:pPr>
                    <w:jc w:val="center"/>
                    <w:rPr>
                      <w:color w:val="auto"/>
                      <w:highlight w:val="none"/>
                    </w:rPr>
                  </w:pPr>
                  <w:r>
                    <w:rPr>
                      <w:color w:val="auto"/>
                      <w:highlight w:val="none"/>
                    </w:rPr>
                    <w:t>设备名称</w:t>
                  </w:r>
                </w:p>
              </w:tc>
              <w:tc>
                <w:tcPr>
                  <w:tcW w:w="1750" w:type="dxa"/>
                  <w:tcBorders>
                    <w:tl2br w:val="nil"/>
                    <w:tr2bl w:val="nil"/>
                  </w:tcBorders>
                  <w:vAlign w:val="center"/>
                </w:tcPr>
                <w:p>
                  <w:pPr>
                    <w:jc w:val="center"/>
                    <w:rPr>
                      <w:color w:val="auto"/>
                      <w:highlight w:val="none"/>
                    </w:rPr>
                  </w:pPr>
                  <w:r>
                    <w:rPr>
                      <w:color w:val="auto"/>
                      <w:highlight w:val="none"/>
                    </w:rPr>
                    <w:t>型号</w:t>
                  </w:r>
                </w:p>
              </w:tc>
              <w:tc>
                <w:tcPr>
                  <w:tcW w:w="1250" w:type="dxa"/>
                  <w:tcBorders>
                    <w:tl2br w:val="nil"/>
                    <w:tr2bl w:val="nil"/>
                  </w:tcBorders>
                  <w:vAlign w:val="center"/>
                </w:tcPr>
                <w:p>
                  <w:pPr>
                    <w:jc w:val="center"/>
                    <w:rPr>
                      <w:color w:val="auto"/>
                      <w:highlight w:val="none"/>
                    </w:rPr>
                  </w:pPr>
                  <w:r>
                    <w:rPr>
                      <w:color w:val="auto"/>
                      <w:highlight w:val="none"/>
                    </w:rPr>
                    <w:t>单位</w:t>
                  </w:r>
                </w:p>
              </w:tc>
              <w:tc>
                <w:tcPr>
                  <w:tcW w:w="1070" w:type="dxa"/>
                  <w:tcBorders>
                    <w:tl2br w:val="nil"/>
                    <w:tr2bl w:val="nil"/>
                  </w:tcBorders>
                  <w:vAlign w:val="center"/>
                </w:tcPr>
                <w:p>
                  <w:pPr>
                    <w:jc w:val="center"/>
                    <w:rPr>
                      <w:color w:val="auto"/>
                      <w:highlight w:val="none"/>
                    </w:rPr>
                  </w:pPr>
                  <w:r>
                    <w:rPr>
                      <w:color w:val="auto"/>
                      <w:highlight w:val="none"/>
                    </w:rPr>
                    <w:t>数量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color w:val="auto"/>
                      <w:highlight w:val="none"/>
                    </w:rPr>
                  </w:pPr>
                  <w:r>
                    <w:rPr>
                      <w:color w:val="auto"/>
                      <w:highlight w:val="none"/>
                    </w:rPr>
                    <w:t>1</w:t>
                  </w:r>
                </w:p>
              </w:tc>
              <w:tc>
                <w:tcPr>
                  <w:tcW w:w="3149"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全自动钢网印刷机</w:t>
                  </w:r>
                </w:p>
              </w:tc>
              <w:tc>
                <w:tcPr>
                  <w:tcW w:w="1750" w:type="dxa"/>
                  <w:tcBorders>
                    <w:tl2br w:val="nil"/>
                    <w:tr2bl w:val="nil"/>
                  </w:tcBorders>
                  <w:noWrap/>
                  <w:vAlign w:val="center"/>
                </w:tcPr>
                <w:p>
                  <w:pPr>
                    <w:autoSpaceDE w:val="0"/>
                    <w:spacing w:line="240" w:lineRule="auto"/>
                    <w:ind w:firstLine="0" w:firstLineChars="0"/>
                    <w:jc w:val="center"/>
                    <w:rPr>
                      <w:rFonts w:hint="default" w:eastAsia="宋体"/>
                      <w:color w:val="auto"/>
                      <w:highlight w:val="none"/>
                      <w:lang w:val="en-US" w:eastAsia="zh-CN"/>
                    </w:rPr>
                  </w:pPr>
                  <w:r>
                    <w:rPr>
                      <w:color w:val="auto"/>
                      <w:sz w:val="21"/>
                      <w:szCs w:val="21"/>
                    </w:rPr>
                    <w:t>EBYDEK</w:t>
                  </w:r>
                </w:p>
              </w:tc>
              <w:tc>
                <w:tcPr>
                  <w:tcW w:w="1250" w:type="dxa"/>
                  <w:tcBorders>
                    <w:tl2br w:val="nil"/>
                    <w:tr2bl w:val="nil"/>
                  </w:tcBorders>
                  <w:vAlign w:val="bottom"/>
                </w:tcPr>
                <w:p>
                  <w:pPr>
                    <w:jc w:val="center"/>
                    <w:rPr>
                      <w:rFonts w:hint="default" w:eastAsia="宋体"/>
                      <w:color w:val="auto"/>
                      <w:highlight w:val="none"/>
                      <w:lang w:val="en-US" w:eastAsia="zh-CN"/>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color w:val="auto"/>
                      <w:highlight w:val="none"/>
                    </w:rPr>
                  </w:pPr>
                  <w:r>
                    <w:rPr>
                      <w:color w:val="auto"/>
                      <w:highlight w:val="none"/>
                    </w:rPr>
                    <w:t>2</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高速贴片机</w:t>
                  </w:r>
                </w:p>
              </w:tc>
              <w:tc>
                <w:tcPr>
                  <w:tcW w:w="1750" w:type="dxa"/>
                  <w:tcBorders>
                    <w:tl2br w:val="nil"/>
                    <w:tr2bl w:val="nil"/>
                  </w:tcBorders>
                  <w:noWrap/>
                  <w:vAlign w:val="center"/>
                </w:tcPr>
                <w:p>
                  <w:pPr>
                    <w:autoSpaceDE w:val="0"/>
                    <w:spacing w:line="240" w:lineRule="auto"/>
                    <w:ind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color w:val="auto"/>
                      <w:sz w:val="21"/>
                      <w:szCs w:val="21"/>
                    </w:rPr>
                    <w:t>CP14/CP12</w:t>
                  </w:r>
                </w:p>
              </w:tc>
              <w:tc>
                <w:tcPr>
                  <w:tcW w:w="1250" w:type="dxa"/>
                  <w:tcBorders>
                    <w:tl2br w:val="nil"/>
                    <w:tr2bl w:val="nil"/>
                  </w:tcBorders>
                  <w:vAlign w:val="bottom"/>
                </w:tcPr>
                <w:p>
                  <w:pPr>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3</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回流焊</w:t>
                  </w:r>
                </w:p>
              </w:tc>
              <w:tc>
                <w:tcPr>
                  <w:tcW w:w="1750" w:type="dxa"/>
                  <w:tcBorders>
                    <w:tl2br w:val="nil"/>
                    <w:tr2bl w:val="nil"/>
                  </w:tcBorders>
                  <w:noWrap/>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color w:val="auto"/>
                      <w:sz w:val="21"/>
                      <w:szCs w:val="21"/>
                    </w:rPr>
                    <w:t>PY125</w:t>
                  </w:r>
                </w:p>
              </w:tc>
              <w:tc>
                <w:tcPr>
                  <w:tcW w:w="1250" w:type="dxa"/>
                  <w:tcBorders>
                    <w:tl2br w:val="nil"/>
                    <w:tr2bl w:val="nil"/>
                  </w:tcBorders>
                  <w:vAlign w:val="bottom"/>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4</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非高压热压夹层机</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1250" w:type="dxa"/>
                  <w:tcBorders>
                    <w:tl2br w:val="nil"/>
                    <w:tr2bl w:val="nil"/>
                  </w:tcBorders>
                  <w:vAlign w:val="bottom"/>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5</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单晶硅片串焊机</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eastAsia" w:cs="Times New Roman"/>
                      <w:color w:val="auto"/>
                      <w:kern w:val="2"/>
                      <w:sz w:val="21"/>
                      <w:szCs w:val="21"/>
                      <w:highlight w:val="none"/>
                      <w:shd w:val="clear" w:color="auto" w:fill="FFFFFF"/>
                      <w:lang w:val="en-US" w:eastAsia="zh-CN" w:bidi="ar-SA"/>
                    </w:rPr>
                    <w:t>/</w:t>
                  </w:r>
                </w:p>
              </w:tc>
              <w:tc>
                <w:tcPr>
                  <w:tcW w:w="1250" w:type="dxa"/>
                  <w:tcBorders>
                    <w:tl2br w:val="nil"/>
                    <w:tr2bl w:val="nil"/>
                  </w:tcBorders>
                  <w:vAlign w:val="bottom"/>
                </w:tcPr>
                <w:p>
                  <w:pPr>
                    <w:jc w:val="center"/>
                    <w:rPr>
                      <w:rFonts w:ascii="Times New Roman" w:hAnsi="Times New Roman" w:eastAsia="宋体" w:cs="Times New Roman"/>
                      <w:color w:val="auto"/>
                      <w:kern w:val="2"/>
                      <w:sz w:val="21"/>
                      <w:szCs w:val="21"/>
                      <w:highlight w:val="none"/>
                      <w:shd w:val="clear" w:color="auto" w:fill="FFFFFF"/>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6</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激光雕刻</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1250" w:type="dxa"/>
                  <w:tcBorders>
                    <w:tl2br w:val="nil"/>
                    <w:tr2bl w:val="nil"/>
                  </w:tcBorders>
                  <w:vAlign w:val="bottom"/>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条</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ascii="Times New Roman" w:hAnsi="Times New Roman" w:eastAsia="宋体" w:cs="Times New Roman"/>
                      <w:color w:val="auto"/>
                      <w:kern w:val="2"/>
                      <w:sz w:val="21"/>
                      <w:szCs w:val="24"/>
                      <w:highlight w:val="none"/>
                      <w:lang w:val="en-US" w:eastAsia="zh-CN" w:bidi="ar-SA"/>
                    </w:rPr>
                  </w:pPr>
                  <w:r>
                    <w:rPr>
                      <w:color w:val="auto"/>
                      <w:highlight w:val="none"/>
                    </w:rPr>
                    <w:t>7</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中空合片机</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1"/>
                      <w:highlight w:val="none"/>
                      <w:shd w:val="clear" w:color="auto" w:fill="FFFFFF"/>
                      <w:lang w:val="en-US" w:eastAsia="zh-CN" w:bidi="ar-SA"/>
                    </w:rPr>
                    <w:t>/</w:t>
                  </w:r>
                </w:p>
              </w:tc>
              <w:tc>
                <w:tcPr>
                  <w:tcW w:w="1250" w:type="dxa"/>
                  <w:tcBorders>
                    <w:tl2br w:val="nil"/>
                    <w:tr2bl w:val="nil"/>
                  </w:tcBorders>
                  <w:vAlign w:val="bottom"/>
                </w:tcPr>
                <w:p>
                  <w:pPr>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8</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人工补焊机</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1250" w:type="dxa"/>
                  <w:tcBorders>
                    <w:tl2br w:val="nil"/>
                    <w:tr2bl w:val="nil"/>
                  </w:tcBorders>
                  <w:vAlign w:val="bottom"/>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eastAsia="宋体"/>
                      <w:color w:val="auto"/>
                      <w:highlight w:val="none"/>
                      <w:lang w:val="en-US" w:eastAsia="zh-CN"/>
                    </w:rPr>
                  </w:pPr>
                  <w:r>
                    <w:rPr>
                      <w:rFonts w:hint="eastAsia"/>
                      <w:color w:val="auto"/>
                      <w:highlight w:val="none"/>
                      <w:lang w:val="en-US" w:eastAsia="zh-CN"/>
                    </w:rPr>
                    <w:t>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9</w:t>
                  </w:r>
                </w:p>
              </w:tc>
              <w:tc>
                <w:tcPr>
                  <w:tcW w:w="3149"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移动式焊烟净化器</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1"/>
                      <w:highlight w:val="none"/>
                      <w:shd w:val="clear" w:color="auto" w:fill="FFFFFF"/>
                      <w:lang w:val="en-US" w:eastAsia="zh-CN" w:bidi="ar-SA"/>
                    </w:rPr>
                    <w:t>/</w:t>
                  </w:r>
                </w:p>
              </w:tc>
              <w:tc>
                <w:tcPr>
                  <w:tcW w:w="1250" w:type="dxa"/>
                  <w:tcBorders>
                    <w:tl2br w:val="nil"/>
                    <w:tr2bl w:val="nil"/>
                  </w:tcBorders>
                  <w:vAlign w:val="bottom"/>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w:t>
                  </w:r>
                </w:p>
              </w:tc>
              <w:tc>
                <w:tcPr>
                  <w:tcW w:w="3149" w:type="dxa"/>
                  <w:tcBorders>
                    <w:tl2br w:val="nil"/>
                    <w:tr2bl w:val="nil"/>
                  </w:tcBorders>
                  <w:noWrap/>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3M过滤棉</w:t>
                  </w:r>
                </w:p>
              </w:tc>
              <w:tc>
                <w:tcPr>
                  <w:tcW w:w="1750" w:type="dxa"/>
                  <w:tcBorders>
                    <w:tl2br w:val="nil"/>
                    <w:tr2bl w:val="nil"/>
                  </w:tcBorders>
                  <w:noWrap/>
                  <w:vAlign w:val="center"/>
                </w:tcPr>
                <w:p>
                  <w:pPr>
                    <w:jc w:val="center"/>
                    <w:rPr>
                      <w:rFonts w:hint="default" w:cs="Times New Roman"/>
                      <w:color w:val="auto"/>
                      <w:kern w:val="2"/>
                      <w:sz w:val="21"/>
                      <w:szCs w:val="21"/>
                      <w:highlight w:val="none"/>
                      <w:shd w:val="clear" w:color="auto" w:fill="FFFFFF"/>
                      <w:lang w:val="en-US" w:eastAsia="zh-CN" w:bidi="ar-SA"/>
                    </w:rPr>
                  </w:pPr>
                  <w:r>
                    <w:rPr>
                      <w:rFonts w:hint="eastAsia" w:cs="Times New Roman"/>
                      <w:color w:val="auto"/>
                      <w:kern w:val="2"/>
                      <w:sz w:val="21"/>
                      <w:szCs w:val="21"/>
                      <w:highlight w:val="none"/>
                      <w:shd w:val="clear" w:color="auto" w:fill="FFFFFF"/>
                      <w:lang w:val="en-US" w:eastAsia="zh-CN" w:bidi="ar-SA"/>
                    </w:rPr>
                    <w:t>3M</w:t>
                  </w:r>
                </w:p>
              </w:tc>
              <w:tc>
                <w:tcPr>
                  <w:tcW w:w="1250" w:type="dxa"/>
                  <w:tcBorders>
                    <w:tl2br w:val="nil"/>
                    <w:tr2bl w:val="nil"/>
                  </w:tcBorders>
                  <w:vAlign w:val="center"/>
                </w:tcPr>
                <w:p>
                  <w:pPr>
                    <w:jc w:val="center"/>
                    <w:rPr>
                      <w:rFonts w:hint="eastAsia"/>
                      <w:color w:val="auto"/>
                      <w:highlight w:val="none"/>
                      <w:lang w:val="en-US" w:eastAsia="zh-CN"/>
                    </w:rPr>
                  </w:pPr>
                  <w:r>
                    <w:rPr>
                      <w:rFonts w:hint="eastAsia"/>
                      <w:color w:val="auto"/>
                      <w:highlight w:val="none"/>
                      <w:lang w:val="en-US" w:eastAsia="zh-CN"/>
                    </w:rPr>
                    <w:t>套</w:t>
                  </w:r>
                </w:p>
              </w:tc>
              <w:tc>
                <w:tcPr>
                  <w:tcW w:w="1070" w:type="dxa"/>
                  <w:tcBorders>
                    <w:tl2br w:val="nil"/>
                    <w:tr2bl w:val="nil"/>
                  </w:tcBorders>
                  <w:noWrap/>
                  <w:vAlign w:val="center"/>
                </w:tcPr>
                <w:p>
                  <w:pPr>
                    <w:jc w:val="center"/>
                    <w:rPr>
                      <w:rFonts w:hint="eastAsia"/>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11</w:t>
                  </w:r>
                </w:p>
              </w:tc>
              <w:tc>
                <w:tcPr>
                  <w:tcW w:w="3149"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二级活性炭吸附处理设备</w:t>
                  </w:r>
                </w:p>
              </w:tc>
              <w:tc>
                <w:tcPr>
                  <w:tcW w:w="1750" w:type="dxa"/>
                  <w:tcBorders>
                    <w:tl2br w:val="nil"/>
                    <w:tr2bl w:val="nil"/>
                  </w:tcBorders>
                  <w:noWrap/>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1250" w:type="dxa"/>
                  <w:tcBorders>
                    <w:tl2br w:val="nil"/>
                    <w:tr2bl w:val="nil"/>
                  </w:tcBorders>
                  <w:vAlign w:val="center"/>
                </w:tcPr>
                <w:p>
                  <w:pPr>
                    <w:jc w:val="center"/>
                    <w:rPr>
                      <w:rFonts w:hint="default"/>
                      <w:color w:val="auto"/>
                      <w:highlight w:val="none"/>
                      <w:lang w:val="en-US" w:eastAsia="zh-CN"/>
                    </w:rPr>
                  </w:pPr>
                  <w:r>
                    <w:rPr>
                      <w:rFonts w:hint="eastAsia"/>
                      <w:color w:val="auto"/>
                      <w:highlight w:val="none"/>
                      <w:lang w:val="en-US" w:eastAsia="zh-CN"/>
                    </w:rPr>
                    <w:t>套</w:t>
                  </w:r>
                </w:p>
              </w:tc>
              <w:tc>
                <w:tcPr>
                  <w:tcW w:w="1070"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12</w:t>
                  </w:r>
                </w:p>
              </w:tc>
              <w:tc>
                <w:tcPr>
                  <w:tcW w:w="3149"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换气扇</w:t>
                  </w:r>
                </w:p>
              </w:tc>
              <w:tc>
                <w:tcPr>
                  <w:tcW w:w="1750" w:type="dxa"/>
                  <w:tcBorders>
                    <w:tl2br w:val="nil"/>
                    <w:tr2bl w:val="nil"/>
                  </w:tcBorders>
                  <w:noWrap/>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1"/>
                      <w:highlight w:val="none"/>
                      <w:shd w:val="clear" w:color="auto" w:fill="FFFFFF"/>
                      <w:lang w:val="en-US" w:eastAsia="zh-CN" w:bidi="ar-SA"/>
                    </w:rPr>
                    <w:t>/</w:t>
                  </w:r>
                </w:p>
              </w:tc>
              <w:tc>
                <w:tcPr>
                  <w:tcW w:w="1250" w:type="dxa"/>
                  <w:tcBorders>
                    <w:tl2br w:val="nil"/>
                    <w:tr2bl w:val="nil"/>
                  </w:tcBorders>
                  <w:vAlign w:val="center"/>
                </w:tcPr>
                <w:p>
                  <w:pPr>
                    <w:jc w:val="center"/>
                    <w:rPr>
                      <w:rFonts w:hint="default"/>
                      <w:color w:val="auto"/>
                      <w:highlight w:val="none"/>
                      <w:lang w:val="en-US" w:eastAsia="zh-CN"/>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21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13</w:t>
                  </w:r>
                </w:p>
              </w:tc>
              <w:tc>
                <w:tcPr>
                  <w:tcW w:w="3149"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通风风机</w:t>
                  </w:r>
                </w:p>
              </w:tc>
              <w:tc>
                <w:tcPr>
                  <w:tcW w:w="1750" w:type="dxa"/>
                  <w:tcBorders>
                    <w:tl2br w:val="nil"/>
                    <w:tr2bl w:val="nil"/>
                  </w:tcBorders>
                  <w:noWrap/>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w:t>
                  </w:r>
                </w:p>
              </w:tc>
              <w:tc>
                <w:tcPr>
                  <w:tcW w:w="1250" w:type="dxa"/>
                  <w:tcBorders>
                    <w:tl2br w:val="nil"/>
                    <w:tr2bl w:val="nil"/>
                  </w:tcBorders>
                  <w:vAlign w:val="bottom"/>
                </w:tcPr>
                <w:p>
                  <w:pPr>
                    <w:jc w:val="center"/>
                    <w:rPr>
                      <w:rFonts w:hint="eastAsia"/>
                      <w:color w:val="auto"/>
                      <w:highlight w:val="none"/>
                      <w:lang w:val="en-US" w:eastAsia="zh-CN"/>
                    </w:rPr>
                  </w:pPr>
                  <w:r>
                    <w:rPr>
                      <w:rFonts w:hint="eastAsia"/>
                      <w:color w:val="auto"/>
                      <w:highlight w:val="none"/>
                      <w:lang w:val="en-US" w:eastAsia="zh-CN"/>
                    </w:rPr>
                    <w:t>台</w:t>
                  </w:r>
                </w:p>
              </w:tc>
              <w:tc>
                <w:tcPr>
                  <w:tcW w:w="1070" w:type="dxa"/>
                  <w:tcBorders>
                    <w:tl2br w:val="nil"/>
                    <w:tr2bl w:val="nil"/>
                  </w:tcBorders>
                  <w:noWrap/>
                  <w:vAlign w:val="center"/>
                </w:tcPr>
                <w:p>
                  <w:pPr>
                    <w:jc w:val="center"/>
                    <w:rPr>
                      <w:rFonts w:hint="eastAsia"/>
                      <w:color w:val="auto"/>
                      <w:highlight w:val="none"/>
                      <w:lang w:val="en-US" w:eastAsia="zh-CN"/>
                    </w:rPr>
                  </w:pPr>
                  <w:r>
                    <w:rPr>
                      <w:rFonts w:hint="eastAsia"/>
                      <w:color w:val="auto"/>
                      <w:highlight w:val="none"/>
                      <w:lang w:val="en-US" w:eastAsia="zh-CN"/>
                    </w:rPr>
                    <w:t>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87" w:type="dxa"/>
                  <w:tcBorders>
                    <w:tl2br w:val="nil"/>
                    <w:tr2bl w:val="nil"/>
                  </w:tcBorders>
                  <w:vAlign w:val="center"/>
                </w:tcPr>
                <w:p>
                  <w:pPr>
                    <w:jc w:val="center"/>
                    <w:rPr>
                      <w:rFonts w:hint="default"/>
                      <w:color w:val="auto"/>
                      <w:highlight w:val="none"/>
                      <w:lang w:val="en-US" w:eastAsia="zh-CN"/>
                    </w:rPr>
                  </w:pPr>
                  <w:r>
                    <w:rPr>
                      <w:rFonts w:hint="eastAsia"/>
                      <w:color w:val="auto"/>
                      <w:highlight w:val="none"/>
                      <w:lang w:val="en-US" w:eastAsia="zh-CN"/>
                    </w:rPr>
                    <w:t>14</w:t>
                  </w:r>
                </w:p>
              </w:tc>
              <w:tc>
                <w:tcPr>
                  <w:tcW w:w="3149"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叉车</w:t>
                  </w:r>
                </w:p>
              </w:tc>
              <w:tc>
                <w:tcPr>
                  <w:tcW w:w="1750" w:type="dxa"/>
                  <w:tcBorders>
                    <w:tl2br w:val="nil"/>
                    <w:tr2bl w:val="nil"/>
                  </w:tcBorders>
                  <w:noWrap/>
                  <w:vAlign w:val="center"/>
                </w:tcPr>
                <w:p>
                  <w:pPr>
                    <w:jc w:val="center"/>
                    <w:rPr>
                      <w:rFonts w:hint="default" w:cs="Times New Roman"/>
                      <w:color w:val="auto"/>
                      <w:kern w:val="2"/>
                      <w:sz w:val="21"/>
                      <w:szCs w:val="24"/>
                      <w:highlight w:val="none"/>
                      <w:lang w:val="en-US" w:eastAsia="zh-CN" w:bidi="ar-SA"/>
                    </w:rPr>
                  </w:pPr>
                  <w:r>
                    <w:rPr>
                      <w:rFonts w:hint="eastAsia" w:cs="Times New Roman"/>
                      <w:color w:val="auto"/>
                      <w:kern w:val="2"/>
                      <w:sz w:val="21"/>
                      <w:szCs w:val="21"/>
                      <w:highlight w:val="none"/>
                      <w:shd w:val="clear" w:color="auto" w:fill="FFFFFF"/>
                      <w:lang w:val="en-US" w:eastAsia="zh-CN" w:bidi="ar-SA"/>
                    </w:rPr>
                    <w:t>/</w:t>
                  </w:r>
                </w:p>
              </w:tc>
              <w:tc>
                <w:tcPr>
                  <w:tcW w:w="1250" w:type="dxa"/>
                  <w:tcBorders>
                    <w:tl2br w:val="nil"/>
                    <w:tr2bl w:val="nil"/>
                  </w:tcBorders>
                  <w:vAlign w:val="center"/>
                </w:tcPr>
                <w:p>
                  <w:pPr>
                    <w:jc w:val="center"/>
                    <w:rPr>
                      <w:rFonts w:hint="default"/>
                      <w:color w:val="auto"/>
                      <w:highlight w:val="none"/>
                      <w:lang w:val="en-US" w:eastAsia="zh-CN"/>
                    </w:rPr>
                  </w:pPr>
                  <w:r>
                    <w:rPr>
                      <w:rFonts w:hint="eastAsia"/>
                      <w:color w:val="auto"/>
                      <w:highlight w:val="none"/>
                      <w:lang w:val="en-US" w:eastAsia="zh-CN"/>
                    </w:rPr>
                    <w:t>辆</w:t>
                  </w:r>
                </w:p>
              </w:tc>
              <w:tc>
                <w:tcPr>
                  <w:tcW w:w="1070" w:type="dxa"/>
                  <w:tcBorders>
                    <w:tl2br w:val="nil"/>
                    <w:tr2bl w:val="nil"/>
                  </w:tcBorders>
                  <w:noWrap/>
                  <w:vAlign w:val="center"/>
                </w:tcPr>
                <w:p>
                  <w:pPr>
                    <w:jc w:val="center"/>
                    <w:rPr>
                      <w:rFonts w:hint="default"/>
                      <w:color w:val="auto"/>
                      <w:highlight w:val="none"/>
                      <w:lang w:val="en-US" w:eastAsia="zh-CN"/>
                    </w:rPr>
                  </w:pPr>
                  <w:r>
                    <w:rPr>
                      <w:rFonts w:hint="eastAsia"/>
                      <w:color w:val="auto"/>
                      <w:highlight w:val="none"/>
                      <w:lang w:val="en-US" w:eastAsia="zh-CN"/>
                    </w:rPr>
                    <w:t>1</w:t>
                  </w:r>
                </w:p>
              </w:tc>
            </w:tr>
          </w:tbl>
          <w:p>
            <w:pPr>
              <w:spacing w:before="120" w:beforeLines="50" w:line="360" w:lineRule="auto"/>
              <w:ind w:firstLine="482" w:firstLineChars="200"/>
              <w:rPr>
                <w:b/>
                <w:bCs/>
                <w:color w:val="auto"/>
                <w:sz w:val="24"/>
              </w:rPr>
            </w:pPr>
            <w:r>
              <w:rPr>
                <w:rFonts w:hint="eastAsia"/>
                <w:b/>
                <w:bCs/>
                <w:color w:val="auto"/>
                <w:sz w:val="24"/>
              </w:rPr>
              <w:t>5、原辅料、能源消耗</w:t>
            </w:r>
          </w:p>
          <w:p>
            <w:pPr>
              <w:spacing w:line="360" w:lineRule="auto"/>
              <w:ind w:firstLine="480" w:firstLineChars="200"/>
              <w:rPr>
                <w:color w:val="auto"/>
                <w:sz w:val="24"/>
              </w:rPr>
            </w:pPr>
            <w:r>
              <w:rPr>
                <w:bCs/>
                <w:color w:val="auto"/>
                <w:sz w:val="24"/>
              </w:rPr>
              <w:t>本项目</w:t>
            </w:r>
            <w:r>
              <w:rPr>
                <w:rFonts w:hint="eastAsia"/>
                <w:bCs/>
                <w:color w:val="auto"/>
                <w:sz w:val="24"/>
                <w:lang w:val="en-US" w:eastAsia="zh-CN"/>
              </w:rPr>
              <w:t>原辅料主要是建筑玻璃、基板、电致变色中间膜以及无铅焊锡膏、无铅焊锡丝</w:t>
            </w:r>
            <w:r>
              <w:rPr>
                <w:bCs/>
                <w:color w:val="auto"/>
                <w:sz w:val="24"/>
              </w:rPr>
              <w:t>，原料均外购，供应有保障。本项目主要原辅材料及能源消耗见表2-</w:t>
            </w:r>
            <w:r>
              <w:rPr>
                <w:rFonts w:hint="eastAsia"/>
                <w:bCs/>
                <w:color w:val="auto"/>
                <w:sz w:val="24"/>
              </w:rPr>
              <w:t>3</w:t>
            </w:r>
            <w:r>
              <w:rPr>
                <w:rFonts w:hint="eastAsia"/>
                <w:color w:val="auto"/>
                <w:sz w:val="24"/>
              </w:rPr>
              <w:t>。</w:t>
            </w:r>
          </w:p>
          <w:p>
            <w:pPr>
              <w:jc w:val="center"/>
              <w:rPr>
                <w:b/>
                <w:color w:val="auto"/>
                <w:szCs w:val="21"/>
              </w:rPr>
            </w:pPr>
            <w:r>
              <w:rPr>
                <w:b/>
                <w:color w:val="auto"/>
                <w:szCs w:val="21"/>
              </w:rPr>
              <w:t>表2-</w:t>
            </w:r>
            <w:r>
              <w:rPr>
                <w:rFonts w:hint="eastAsia"/>
                <w:b/>
                <w:color w:val="auto"/>
                <w:szCs w:val="21"/>
              </w:rPr>
              <w:t>3</w:t>
            </w:r>
            <w:r>
              <w:rPr>
                <w:b/>
                <w:color w:val="auto"/>
                <w:szCs w:val="21"/>
              </w:rPr>
              <w:t xml:space="preserve">   项目主要原辅材料</w:t>
            </w:r>
            <w:r>
              <w:rPr>
                <w:rFonts w:hint="eastAsia"/>
                <w:b/>
                <w:color w:val="auto"/>
                <w:szCs w:val="21"/>
              </w:rPr>
              <w:t>用量及能源消耗表</w:t>
            </w:r>
          </w:p>
          <w:tbl>
            <w:tblPr>
              <w:tblStyle w:val="29"/>
              <w:tblW w:w="8199"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1755"/>
              <w:gridCol w:w="917"/>
              <w:gridCol w:w="1750"/>
              <w:gridCol w:w="1317"/>
              <w:gridCol w:w="916"/>
              <w:gridCol w:w="111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181" w:type="dxa"/>
                  <w:gridSpan w:val="2"/>
                  <w:tcBorders>
                    <w:tl2br w:val="nil"/>
                    <w:tr2bl w:val="nil"/>
                  </w:tcBorders>
                  <w:vAlign w:val="center"/>
                </w:tcPr>
                <w:p>
                  <w:pPr>
                    <w:widowControl/>
                    <w:jc w:val="center"/>
                    <w:textAlignment w:val="center"/>
                    <w:rPr>
                      <w:rFonts w:eastAsia="等线"/>
                      <w:color w:val="auto"/>
                      <w:sz w:val="21"/>
                      <w:szCs w:val="21"/>
                      <w:highlight w:val="none"/>
                    </w:rPr>
                  </w:pPr>
                  <w:r>
                    <w:rPr>
                      <w:rStyle w:val="92"/>
                      <w:rFonts w:hint="default"/>
                      <w:color w:val="auto"/>
                      <w:sz w:val="21"/>
                      <w:szCs w:val="21"/>
                      <w:highlight w:val="none"/>
                      <w:lang w:bidi="ar"/>
                    </w:rPr>
                    <w:t>名称</w:t>
                  </w:r>
                </w:p>
              </w:tc>
              <w:tc>
                <w:tcPr>
                  <w:tcW w:w="917" w:type="dxa"/>
                  <w:tcBorders>
                    <w:tl2br w:val="nil"/>
                    <w:tr2bl w:val="nil"/>
                  </w:tcBorders>
                  <w:vAlign w:val="center"/>
                </w:tcPr>
                <w:p>
                  <w:pPr>
                    <w:widowControl/>
                    <w:jc w:val="center"/>
                    <w:textAlignment w:val="center"/>
                    <w:rPr>
                      <w:rFonts w:eastAsia="等线"/>
                      <w:color w:val="auto"/>
                      <w:sz w:val="21"/>
                      <w:szCs w:val="21"/>
                      <w:highlight w:val="none"/>
                    </w:rPr>
                  </w:pPr>
                  <w:r>
                    <w:rPr>
                      <w:rStyle w:val="92"/>
                      <w:rFonts w:hint="default"/>
                      <w:color w:val="auto"/>
                      <w:sz w:val="21"/>
                      <w:szCs w:val="21"/>
                      <w:highlight w:val="none"/>
                      <w:lang w:bidi="ar"/>
                    </w:rPr>
                    <w:t>单位</w:t>
                  </w:r>
                </w:p>
              </w:tc>
              <w:tc>
                <w:tcPr>
                  <w:tcW w:w="1750" w:type="dxa"/>
                  <w:tcBorders>
                    <w:tl2br w:val="nil"/>
                    <w:tr2bl w:val="nil"/>
                  </w:tcBorders>
                  <w:vAlign w:val="center"/>
                </w:tcPr>
                <w:p>
                  <w:pPr>
                    <w:widowControl/>
                    <w:jc w:val="center"/>
                    <w:textAlignment w:val="center"/>
                    <w:rPr>
                      <w:rFonts w:eastAsia="等线"/>
                      <w:color w:val="auto"/>
                      <w:sz w:val="21"/>
                      <w:szCs w:val="21"/>
                      <w:highlight w:val="none"/>
                    </w:rPr>
                  </w:pPr>
                  <w:r>
                    <w:rPr>
                      <w:rStyle w:val="92"/>
                      <w:color w:val="auto"/>
                      <w:sz w:val="21"/>
                      <w:szCs w:val="21"/>
                      <w:highlight w:val="none"/>
                      <w:lang w:bidi="ar"/>
                    </w:rPr>
                    <w:t>年</w:t>
                  </w:r>
                  <w:r>
                    <w:rPr>
                      <w:rStyle w:val="92"/>
                      <w:rFonts w:hint="default"/>
                      <w:color w:val="auto"/>
                      <w:sz w:val="21"/>
                      <w:szCs w:val="21"/>
                      <w:highlight w:val="none"/>
                      <w:lang w:bidi="ar"/>
                    </w:rPr>
                    <w:t>用量</w:t>
                  </w:r>
                </w:p>
              </w:tc>
              <w:tc>
                <w:tcPr>
                  <w:tcW w:w="1317" w:type="dxa"/>
                  <w:tcBorders>
                    <w:tl2br w:val="nil"/>
                    <w:tr2bl w:val="nil"/>
                  </w:tcBorders>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来源</w:t>
                  </w:r>
                </w:p>
              </w:tc>
              <w:tc>
                <w:tcPr>
                  <w:tcW w:w="916" w:type="dxa"/>
                  <w:tcBorders>
                    <w:tl2br w:val="nil"/>
                    <w:tr2bl w:val="nil"/>
                  </w:tcBorders>
                  <w:vAlign w:val="center"/>
                </w:tcPr>
                <w:p>
                  <w:pPr>
                    <w:widowControl/>
                    <w:jc w:val="center"/>
                    <w:textAlignment w:val="center"/>
                    <w:rPr>
                      <w:rStyle w:val="92"/>
                      <w:rFonts w:hint="default"/>
                      <w:color w:val="auto"/>
                      <w:sz w:val="21"/>
                      <w:szCs w:val="21"/>
                      <w:highlight w:val="none"/>
                      <w:lang w:bidi="ar"/>
                    </w:rPr>
                  </w:pPr>
                  <w:r>
                    <w:rPr>
                      <w:rStyle w:val="92"/>
                      <w:color w:val="auto"/>
                      <w:sz w:val="21"/>
                      <w:szCs w:val="21"/>
                      <w:highlight w:val="none"/>
                      <w:lang w:bidi="ar"/>
                    </w:rPr>
                    <w:t>储存量</w:t>
                  </w:r>
                </w:p>
              </w:tc>
              <w:tc>
                <w:tcPr>
                  <w:tcW w:w="1118" w:type="dxa"/>
                  <w:tcBorders>
                    <w:tl2br w:val="nil"/>
                    <w:tr2bl w:val="nil"/>
                  </w:tcBorders>
                  <w:vAlign w:val="center"/>
                </w:tcPr>
                <w:p>
                  <w:pPr>
                    <w:widowControl/>
                    <w:jc w:val="center"/>
                    <w:textAlignment w:val="center"/>
                    <w:rPr>
                      <w:rStyle w:val="92"/>
                      <w:rFonts w:hint="default"/>
                      <w:color w:val="auto"/>
                      <w:sz w:val="21"/>
                      <w:szCs w:val="21"/>
                      <w:highlight w:val="none"/>
                      <w:lang w:bidi="ar"/>
                    </w:rPr>
                  </w:pPr>
                  <w:r>
                    <w:rPr>
                      <w:rStyle w:val="92"/>
                      <w:color w:val="auto"/>
                      <w:sz w:val="21"/>
                      <w:szCs w:val="21"/>
                      <w:highlight w:val="none"/>
                      <w:lang w:bidi="ar"/>
                    </w:rPr>
                    <w:t>储存位置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426" w:type="dxa"/>
                  <w:vMerge w:val="restart"/>
                  <w:tcBorders>
                    <w:tl2br w:val="nil"/>
                    <w:tr2bl w:val="nil"/>
                  </w:tcBorders>
                  <w:vAlign w:val="center"/>
                </w:tcPr>
                <w:p>
                  <w:pPr>
                    <w:widowControl/>
                    <w:jc w:val="center"/>
                    <w:textAlignment w:val="center"/>
                    <w:rPr>
                      <w:rFonts w:eastAsia="等线"/>
                      <w:color w:val="auto"/>
                      <w:sz w:val="21"/>
                      <w:szCs w:val="21"/>
                      <w:highlight w:val="none"/>
                    </w:rPr>
                  </w:pPr>
                  <w:r>
                    <w:rPr>
                      <w:rStyle w:val="92"/>
                      <w:rFonts w:hint="default"/>
                      <w:color w:val="auto"/>
                      <w:sz w:val="21"/>
                      <w:szCs w:val="21"/>
                      <w:highlight w:val="none"/>
                      <w:lang w:bidi="ar"/>
                    </w:rPr>
                    <w:t>原料</w:t>
                  </w:r>
                </w:p>
              </w:tc>
              <w:tc>
                <w:tcPr>
                  <w:tcW w:w="1755" w:type="dxa"/>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建筑玻璃</w:t>
                  </w:r>
                </w:p>
              </w:tc>
              <w:tc>
                <w:tcPr>
                  <w:tcW w:w="917"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10000</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rPr>
                    <w:t>外购</w:t>
                  </w:r>
                </w:p>
              </w:tc>
              <w:tc>
                <w:tcPr>
                  <w:tcW w:w="916"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2000</w:t>
                  </w:r>
                </w:p>
              </w:tc>
              <w:tc>
                <w:tcPr>
                  <w:tcW w:w="1118" w:type="dxa"/>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eastAsia="等线"/>
                      <w:color w:val="auto"/>
                      <w:sz w:val="21"/>
                      <w:szCs w:val="21"/>
                      <w:highlight w:val="none"/>
                    </w:rPr>
                  </w:pPr>
                </w:p>
              </w:tc>
              <w:tc>
                <w:tcPr>
                  <w:tcW w:w="1755" w:type="dxa"/>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基板</w:t>
                  </w:r>
                </w:p>
              </w:tc>
              <w:tc>
                <w:tcPr>
                  <w:tcW w:w="9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6000</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rPr>
                    <w:t>外购</w:t>
                  </w:r>
                </w:p>
              </w:tc>
              <w:tc>
                <w:tcPr>
                  <w:tcW w:w="916"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1000</w:t>
                  </w:r>
                </w:p>
              </w:tc>
              <w:tc>
                <w:tcPr>
                  <w:tcW w:w="1118"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eastAsia="等线"/>
                      <w:color w:val="auto"/>
                      <w:sz w:val="21"/>
                      <w:szCs w:val="21"/>
                      <w:highlight w:val="none"/>
                    </w:rPr>
                  </w:pPr>
                </w:p>
              </w:tc>
              <w:tc>
                <w:tcPr>
                  <w:tcW w:w="1755" w:type="dxa"/>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电致变色中间膜</w:t>
                  </w:r>
                </w:p>
              </w:tc>
              <w:tc>
                <w:tcPr>
                  <w:tcW w:w="9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4000</w:t>
                  </w:r>
                </w:p>
              </w:tc>
              <w:tc>
                <w:tcPr>
                  <w:tcW w:w="1317"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rPr>
                    <w:t>外购</w:t>
                  </w:r>
                </w:p>
              </w:tc>
              <w:tc>
                <w:tcPr>
                  <w:tcW w:w="916" w:type="dxa"/>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1118"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eastAsia="等线"/>
                      <w:color w:val="auto"/>
                      <w:sz w:val="21"/>
                      <w:szCs w:val="21"/>
                      <w:highlight w:val="none"/>
                    </w:rPr>
                  </w:pPr>
                </w:p>
              </w:tc>
              <w:tc>
                <w:tcPr>
                  <w:tcW w:w="1755"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LED灯珠</w:t>
                  </w:r>
                </w:p>
              </w:tc>
              <w:tc>
                <w:tcPr>
                  <w:tcW w:w="917"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万颗/年</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6000</w:t>
                  </w:r>
                </w:p>
              </w:tc>
              <w:tc>
                <w:tcPr>
                  <w:tcW w:w="1317"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rPr>
                    <w:t>外购</w:t>
                  </w:r>
                </w:p>
              </w:tc>
              <w:tc>
                <w:tcPr>
                  <w:tcW w:w="916" w:type="dxa"/>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1118"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eastAsia="等线"/>
                      <w:color w:val="auto"/>
                      <w:sz w:val="21"/>
                      <w:szCs w:val="21"/>
                      <w:highlight w:val="none"/>
                    </w:rPr>
                  </w:pPr>
                </w:p>
              </w:tc>
              <w:tc>
                <w:tcPr>
                  <w:tcW w:w="1755"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PVB膜</w:t>
                  </w:r>
                </w:p>
              </w:tc>
              <w:tc>
                <w:tcPr>
                  <w:tcW w:w="9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6000（厚1.0mm）</w:t>
                  </w:r>
                </w:p>
              </w:tc>
              <w:tc>
                <w:tcPr>
                  <w:tcW w:w="1317"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rPr>
                    <w:t>外购</w:t>
                  </w:r>
                </w:p>
              </w:tc>
              <w:tc>
                <w:tcPr>
                  <w:tcW w:w="916" w:type="dxa"/>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500</w:t>
                  </w:r>
                </w:p>
              </w:tc>
              <w:tc>
                <w:tcPr>
                  <w:tcW w:w="1118"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restart"/>
                  <w:tcBorders>
                    <w:tl2br w:val="nil"/>
                    <w:tr2bl w:val="nil"/>
                  </w:tcBorders>
                  <w:vAlign w:val="center"/>
                </w:tcPr>
                <w:p>
                  <w:pPr>
                    <w:widowControl/>
                    <w:jc w:val="center"/>
                    <w:textAlignment w:val="center"/>
                    <w:rPr>
                      <w:rFonts w:eastAsia="等线"/>
                      <w:color w:val="auto"/>
                      <w:sz w:val="21"/>
                      <w:szCs w:val="21"/>
                      <w:highlight w:val="none"/>
                    </w:rPr>
                  </w:pPr>
                  <w:r>
                    <w:rPr>
                      <w:rStyle w:val="92"/>
                      <w:rFonts w:hint="default"/>
                      <w:color w:val="auto"/>
                      <w:sz w:val="21"/>
                      <w:szCs w:val="21"/>
                      <w:highlight w:val="none"/>
                      <w:lang w:bidi="ar"/>
                    </w:rPr>
                    <w:t>辅料</w:t>
                  </w:r>
                </w:p>
              </w:tc>
              <w:tc>
                <w:tcPr>
                  <w:tcW w:w="1755" w:type="dxa"/>
                  <w:tcBorders>
                    <w:tl2br w:val="nil"/>
                    <w:tr2bl w:val="nil"/>
                  </w:tcBorders>
                  <w:vAlign w:val="center"/>
                </w:tcPr>
                <w:p>
                  <w:pPr>
                    <w:pStyle w:val="98"/>
                    <w:rPr>
                      <w:rFonts w:hint="eastAsia" w:eastAsia="宋体"/>
                      <w:color w:val="auto"/>
                      <w:sz w:val="21"/>
                      <w:szCs w:val="21"/>
                      <w:highlight w:val="none"/>
                      <w:lang w:val="en-US" w:eastAsia="zh-CN"/>
                    </w:rPr>
                  </w:pPr>
                  <w:r>
                    <w:rPr>
                      <w:rFonts w:hint="eastAsia"/>
                      <w:color w:val="auto"/>
                      <w:sz w:val="21"/>
                      <w:szCs w:val="21"/>
                      <w:highlight w:val="none"/>
                      <w:lang w:val="en-US" w:eastAsia="zh-CN"/>
                    </w:rPr>
                    <w:t>无铅焊锡膏</w:t>
                  </w:r>
                </w:p>
              </w:tc>
              <w:tc>
                <w:tcPr>
                  <w:tcW w:w="917" w:type="dxa"/>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kg</w:t>
                  </w:r>
                  <w:r>
                    <w:rPr>
                      <w:color w:val="auto"/>
                      <w:sz w:val="21"/>
                      <w:szCs w:val="21"/>
                      <w:highlight w:val="none"/>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rPr>
                    <w:t>桶装，外购</w:t>
                  </w:r>
                </w:p>
              </w:tc>
              <w:tc>
                <w:tcPr>
                  <w:tcW w:w="916"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1118"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widowControl/>
                    <w:jc w:val="center"/>
                    <w:textAlignment w:val="center"/>
                    <w:rPr>
                      <w:rStyle w:val="92"/>
                      <w:rFonts w:hint="default"/>
                      <w:color w:val="auto"/>
                      <w:sz w:val="21"/>
                      <w:szCs w:val="21"/>
                      <w:highlight w:val="none"/>
                      <w:lang w:bidi="ar"/>
                    </w:rPr>
                  </w:pPr>
                </w:p>
              </w:tc>
              <w:tc>
                <w:tcPr>
                  <w:tcW w:w="1755" w:type="dxa"/>
                  <w:tcBorders>
                    <w:tl2br w:val="nil"/>
                    <w:tr2bl w:val="nil"/>
                  </w:tcBorders>
                  <w:vAlign w:val="center"/>
                </w:tcPr>
                <w:p>
                  <w:pPr>
                    <w:pStyle w:val="98"/>
                    <w:rPr>
                      <w:rFonts w:hint="eastAsia" w:eastAsia="宋体"/>
                      <w:color w:val="auto"/>
                      <w:sz w:val="21"/>
                      <w:szCs w:val="21"/>
                      <w:highlight w:val="none"/>
                      <w:lang w:val="en-US" w:eastAsia="zh-CN"/>
                    </w:rPr>
                  </w:pPr>
                  <w:r>
                    <w:rPr>
                      <w:rFonts w:hint="eastAsia"/>
                      <w:color w:val="auto"/>
                      <w:sz w:val="21"/>
                      <w:szCs w:val="21"/>
                      <w:highlight w:val="none"/>
                      <w:lang w:val="en-US" w:eastAsia="zh-CN"/>
                    </w:rPr>
                    <w:t>无铅焊锡丝</w:t>
                  </w:r>
                </w:p>
              </w:tc>
              <w:tc>
                <w:tcPr>
                  <w:tcW w:w="9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kg</w:t>
                  </w:r>
                  <w:r>
                    <w:rPr>
                      <w:color w:val="auto"/>
                      <w:sz w:val="21"/>
                      <w:szCs w:val="21"/>
                      <w:highlight w:val="none"/>
                    </w:rPr>
                    <w:t>/a</w:t>
                  </w:r>
                </w:p>
              </w:tc>
              <w:tc>
                <w:tcPr>
                  <w:tcW w:w="1750" w:type="dxa"/>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val="en-US" w:eastAsia="zh-CN"/>
                    </w:rPr>
                    <w:t>6</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纸盒</w:t>
                  </w:r>
                  <w:r>
                    <w:rPr>
                      <w:rFonts w:hint="eastAsia"/>
                      <w:color w:val="auto"/>
                      <w:sz w:val="21"/>
                      <w:szCs w:val="21"/>
                      <w:highlight w:val="none"/>
                    </w:rPr>
                    <w:t>，外购</w:t>
                  </w:r>
                </w:p>
              </w:tc>
              <w:tc>
                <w:tcPr>
                  <w:tcW w:w="916" w:type="dxa"/>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6</w:t>
                  </w:r>
                </w:p>
              </w:tc>
              <w:tc>
                <w:tcPr>
                  <w:tcW w:w="1118" w:type="dxa"/>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widowControl/>
                    <w:jc w:val="center"/>
                    <w:textAlignment w:val="center"/>
                    <w:rPr>
                      <w:rStyle w:val="92"/>
                      <w:rFonts w:hint="default"/>
                      <w:color w:val="auto"/>
                      <w:sz w:val="21"/>
                      <w:szCs w:val="21"/>
                      <w:highlight w:val="none"/>
                      <w:lang w:bidi="ar"/>
                    </w:rPr>
                  </w:pPr>
                </w:p>
              </w:tc>
              <w:tc>
                <w:tcPr>
                  <w:tcW w:w="1755" w:type="dxa"/>
                  <w:tcBorders>
                    <w:tl2br w:val="nil"/>
                    <w:tr2bl w:val="nil"/>
                  </w:tcBorders>
                  <w:vAlign w:val="center"/>
                </w:tcPr>
                <w:p>
                  <w:pPr>
                    <w:pStyle w:val="98"/>
                    <w:rPr>
                      <w:rFonts w:hint="default"/>
                      <w:color w:val="auto"/>
                      <w:sz w:val="21"/>
                      <w:szCs w:val="21"/>
                      <w:highlight w:val="none"/>
                      <w:lang w:val="en-US" w:eastAsia="zh-CN"/>
                    </w:rPr>
                  </w:pPr>
                  <w:r>
                    <w:rPr>
                      <w:rFonts w:hint="eastAsia"/>
                      <w:color w:val="auto"/>
                      <w:sz w:val="21"/>
                      <w:szCs w:val="21"/>
                      <w:highlight w:val="none"/>
                      <w:lang w:val="en-US" w:eastAsia="zh-CN"/>
                    </w:rPr>
                    <w:t>润滑油</w:t>
                  </w:r>
                </w:p>
              </w:tc>
              <w:tc>
                <w:tcPr>
                  <w:tcW w:w="917" w:type="dxa"/>
                  <w:tcBorders>
                    <w:tl2br w:val="nil"/>
                    <w:tr2bl w:val="nil"/>
                  </w:tcBorders>
                  <w:vAlign w:val="center"/>
                </w:tcPr>
                <w:p>
                  <w:pPr>
                    <w:jc w:val="center"/>
                    <w:rPr>
                      <w:rFonts w:hint="default"/>
                      <w:color w:val="auto"/>
                      <w:sz w:val="21"/>
                      <w:szCs w:val="21"/>
                      <w:highlight w:val="none"/>
                      <w:lang w:val="en-US" w:eastAsia="zh-CN"/>
                    </w:rPr>
                  </w:pPr>
                  <w:r>
                    <w:rPr>
                      <w:color w:val="auto"/>
                      <w:sz w:val="21"/>
                      <w:szCs w:val="21"/>
                      <w:highlight w:val="none"/>
                    </w:rPr>
                    <w:t>t/a</w:t>
                  </w:r>
                </w:p>
              </w:tc>
              <w:tc>
                <w:tcPr>
                  <w:tcW w:w="1750" w:type="dxa"/>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1317"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rPr>
                    <w:t>桶装，外购</w:t>
                  </w:r>
                </w:p>
              </w:tc>
              <w:tc>
                <w:tcPr>
                  <w:tcW w:w="916"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1</w:t>
                  </w:r>
                </w:p>
              </w:tc>
              <w:tc>
                <w:tcPr>
                  <w:tcW w:w="1118" w:type="dxa"/>
                  <w:tcBorders>
                    <w:tl2br w:val="nil"/>
                    <w:tr2bl w:val="nil"/>
                  </w:tcBorders>
                  <w:vAlign w:val="center"/>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eastAsia="等线"/>
                      <w:color w:val="auto"/>
                      <w:sz w:val="21"/>
                      <w:szCs w:val="21"/>
                      <w:highlight w:val="none"/>
                    </w:rPr>
                  </w:pPr>
                </w:p>
              </w:tc>
              <w:tc>
                <w:tcPr>
                  <w:tcW w:w="1755" w:type="dxa"/>
                  <w:tcBorders>
                    <w:tl2br w:val="nil"/>
                    <w:tr2bl w:val="nil"/>
                  </w:tcBorders>
                  <w:vAlign w:val="center"/>
                </w:tcPr>
                <w:p>
                  <w:pPr>
                    <w:pStyle w:val="98"/>
                    <w:rPr>
                      <w:color w:val="auto"/>
                      <w:sz w:val="21"/>
                      <w:szCs w:val="21"/>
                      <w:highlight w:val="none"/>
                    </w:rPr>
                  </w:pPr>
                  <w:r>
                    <w:rPr>
                      <w:rFonts w:hint="eastAsia"/>
                      <w:color w:val="auto"/>
                      <w:sz w:val="21"/>
                      <w:szCs w:val="21"/>
                      <w:highlight w:val="none"/>
                    </w:rPr>
                    <w:t>活性炭</w:t>
                  </w:r>
                </w:p>
              </w:tc>
              <w:tc>
                <w:tcPr>
                  <w:tcW w:w="9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kg</w:t>
                  </w:r>
                  <w:r>
                    <w:rPr>
                      <w:color w:val="auto"/>
                      <w:sz w:val="21"/>
                      <w:szCs w:val="21"/>
                      <w:highlight w:val="none"/>
                    </w:rPr>
                    <w: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60</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lang w:val="en-US" w:eastAsia="zh-CN"/>
                    </w:rPr>
                    <w:t>袋装</w:t>
                  </w:r>
                  <w:r>
                    <w:rPr>
                      <w:rFonts w:hint="eastAsia"/>
                      <w:color w:val="auto"/>
                      <w:sz w:val="21"/>
                      <w:szCs w:val="21"/>
                      <w:highlight w:val="none"/>
                    </w:rPr>
                    <w:t>，外购</w:t>
                  </w:r>
                </w:p>
              </w:tc>
              <w:tc>
                <w:tcPr>
                  <w:tcW w:w="916" w:type="dxa"/>
                  <w:tcBorders>
                    <w:tl2br w:val="nil"/>
                    <w:tr2bl w:val="nil"/>
                  </w:tcBorders>
                  <w:vAlign w:val="center"/>
                </w:tcPr>
                <w:p>
                  <w:pPr>
                    <w:jc w:val="center"/>
                    <w:rPr>
                      <w:rFonts w:hint="default"/>
                      <w:color w:val="auto"/>
                      <w:sz w:val="21"/>
                      <w:szCs w:val="21"/>
                      <w:highlight w:val="none"/>
                      <w:lang w:val="en-US"/>
                    </w:rPr>
                  </w:pPr>
                  <w:r>
                    <w:rPr>
                      <w:rFonts w:hint="eastAsia"/>
                      <w:color w:val="auto"/>
                      <w:sz w:val="21"/>
                      <w:szCs w:val="21"/>
                      <w:highlight w:val="none"/>
                      <w:lang w:val="en-US" w:eastAsia="zh-CN"/>
                    </w:rPr>
                    <w:t>30</w:t>
                  </w:r>
                </w:p>
              </w:tc>
              <w:tc>
                <w:tcPr>
                  <w:tcW w:w="1118"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原料库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restart"/>
                  <w:tcBorders>
                    <w:tl2br w:val="nil"/>
                    <w:tr2bl w:val="nil"/>
                  </w:tcBorders>
                  <w:vAlign w:val="center"/>
                </w:tcPr>
                <w:p>
                  <w:pPr>
                    <w:widowControl/>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能源</w:t>
                  </w:r>
                </w:p>
              </w:tc>
              <w:tc>
                <w:tcPr>
                  <w:tcW w:w="1755" w:type="dxa"/>
                  <w:tcBorders>
                    <w:tl2br w:val="nil"/>
                    <w:tr2bl w:val="nil"/>
                  </w:tcBorders>
                  <w:vAlign w:val="center"/>
                </w:tcPr>
                <w:p>
                  <w:pPr>
                    <w:jc w:val="center"/>
                    <w:rPr>
                      <w:color w:val="auto"/>
                      <w:sz w:val="21"/>
                      <w:szCs w:val="21"/>
                      <w:highlight w:val="none"/>
                    </w:rPr>
                  </w:pPr>
                  <w:r>
                    <w:rPr>
                      <w:color w:val="auto"/>
                      <w:sz w:val="21"/>
                      <w:szCs w:val="21"/>
                      <w:highlight w:val="none"/>
                    </w:rPr>
                    <w:t>水</w:t>
                  </w:r>
                </w:p>
              </w:tc>
              <w:tc>
                <w:tcPr>
                  <w:tcW w:w="917" w:type="dxa"/>
                  <w:tcBorders>
                    <w:tl2br w:val="nil"/>
                    <w:tr2bl w:val="nil"/>
                  </w:tcBorders>
                  <w:vAlign w:val="center"/>
                </w:tcPr>
                <w:p>
                  <w:pPr>
                    <w:jc w:val="center"/>
                    <w:rPr>
                      <w:color w:val="auto"/>
                      <w:sz w:val="21"/>
                      <w:szCs w:val="21"/>
                      <w:highlight w:val="none"/>
                    </w:rPr>
                  </w:pPr>
                  <w:r>
                    <w:rPr>
                      <w:color w:val="auto"/>
                      <w:sz w:val="21"/>
                      <w:szCs w:val="21"/>
                      <w:highlight w:val="none"/>
                    </w:rPr>
                    <w:t>t/a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200</w:t>
                  </w:r>
                </w:p>
              </w:tc>
              <w:tc>
                <w:tcPr>
                  <w:tcW w:w="1317"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市政管网</w:t>
                  </w:r>
                </w:p>
              </w:tc>
              <w:tc>
                <w:tcPr>
                  <w:tcW w:w="916" w:type="dxa"/>
                  <w:tcBorders>
                    <w:tl2br w:val="nil"/>
                    <w:tr2bl w:val="nil"/>
                  </w:tcBorders>
                  <w:vAlign w:val="center"/>
                </w:tcPr>
                <w:p>
                  <w:pPr>
                    <w:jc w:val="center"/>
                    <w:rPr>
                      <w:color w:val="auto"/>
                      <w:sz w:val="21"/>
                      <w:szCs w:val="21"/>
                      <w:highlight w:val="none"/>
                    </w:rPr>
                  </w:pPr>
                  <w:r>
                    <w:rPr>
                      <w:color w:val="auto"/>
                      <w:sz w:val="21"/>
                      <w:szCs w:val="21"/>
                      <w:highlight w:val="none"/>
                    </w:rPr>
                    <w:t>/</w:t>
                  </w:r>
                </w:p>
              </w:tc>
              <w:tc>
                <w:tcPr>
                  <w:tcW w:w="1118" w:type="dxa"/>
                  <w:tcBorders>
                    <w:tl2br w:val="nil"/>
                    <w:tr2bl w:val="nil"/>
                  </w:tcBorders>
                  <w:vAlign w:val="center"/>
                </w:tcPr>
                <w:p>
                  <w:pPr>
                    <w:jc w:val="center"/>
                    <w:rPr>
                      <w:color w:val="auto"/>
                      <w:sz w:val="21"/>
                      <w:szCs w:val="21"/>
                      <w:highlight w:val="none"/>
                    </w:rPr>
                  </w:pPr>
                  <w:r>
                    <w:rPr>
                      <w:color w:val="auto"/>
                      <w:sz w:val="21"/>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tl2br w:val="nil"/>
                    <w:tr2bl w:val="nil"/>
                  </w:tcBorders>
                  <w:vAlign w:val="center"/>
                </w:tcPr>
                <w:p>
                  <w:pPr>
                    <w:jc w:val="center"/>
                    <w:rPr>
                      <w:rFonts w:ascii="宋体" w:hAnsi="宋体" w:cs="宋体"/>
                      <w:color w:val="auto"/>
                      <w:sz w:val="21"/>
                      <w:szCs w:val="21"/>
                      <w:highlight w:val="none"/>
                    </w:rPr>
                  </w:pPr>
                </w:p>
              </w:tc>
              <w:tc>
                <w:tcPr>
                  <w:tcW w:w="1755" w:type="dxa"/>
                  <w:tcBorders>
                    <w:tl2br w:val="nil"/>
                    <w:tr2bl w:val="nil"/>
                  </w:tcBorders>
                  <w:vAlign w:val="center"/>
                </w:tcPr>
                <w:p>
                  <w:pPr>
                    <w:jc w:val="center"/>
                    <w:rPr>
                      <w:color w:val="auto"/>
                      <w:sz w:val="21"/>
                      <w:szCs w:val="21"/>
                      <w:highlight w:val="none"/>
                    </w:rPr>
                  </w:pPr>
                  <w:r>
                    <w:rPr>
                      <w:color w:val="auto"/>
                      <w:sz w:val="21"/>
                      <w:szCs w:val="21"/>
                      <w:highlight w:val="none"/>
                    </w:rPr>
                    <w:t>电</w:t>
                  </w:r>
                </w:p>
              </w:tc>
              <w:tc>
                <w:tcPr>
                  <w:tcW w:w="917" w:type="dxa"/>
                  <w:tcBorders>
                    <w:tl2br w:val="nil"/>
                    <w:tr2bl w:val="nil"/>
                  </w:tcBorders>
                  <w:vAlign w:val="center"/>
                </w:tcPr>
                <w:p>
                  <w:pPr>
                    <w:jc w:val="center"/>
                    <w:rPr>
                      <w:color w:val="auto"/>
                      <w:sz w:val="21"/>
                      <w:szCs w:val="21"/>
                      <w:highlight w:val="none"/>
                    </w:rPr>
                  </w:pPr>
                  <w:r>
                    <w:rPr>
                      <w:color w:val="auto"/>
                      <w:sz w:val="21"/>
                      <w:szCs w:val="21"/>
                      <w:highlight w:val="none"/>
                    </w:rPr>
                    <w:t>万kW▪h/a</w:t>
                  </w:r>
                </w:p>
              </w:tc>
              <w:tc>
                <w:tcPr>
                  <w:tcW w:w="1750" w:type="dxa"/>
                  <w:tcBorders>
                    <w:tl2br w:val="nil"/>
                    <w:tr2bl w:val="nil"/>
                  </w:tcBorders>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1317" w:type="dxa"/>
                  <w:tcBorders>
                    <w:tl2br w:val="nil"/>
                    <w:tr2bl w:val="nil"/>
                  </w:tcBorders>
                  <w:vAlign w:val="center"/>
                </w:tcPr>
                <w:p>
                  <w:pPr>
                    <w:jc w:val="center"/>
                    <w:rPr>
                      <w:color w:val="auto"/>
                      <w:sz w:val="21"/>
                      <w:szCs w:val="21"/>
                      <w:highlight w:val="none"/>
                    </w:rPr>
                  </w:pPr>
                  <w:r>
                    <w:rPr>
                      <w:rFonts w:hint="eastAsia"/>
                      <w:color w:val="auto"/>
                      <w:sz w:val="21"/>
                      <w:szCs w:val="21"/>
                      <w:highlight w:val="none"/>
                    </w:rPr>
                    <w:t>市政电网</w:t>
                  </w:r>
                </w:p>
              </w:tc>
              <w:tc>
                <w:tcPr>
                  <w:tcW w:w="916" w:type="dxa"/>
                  <w:tcBorders>
                    <w:tl2br w:val="nil"/>
                    <w:tr2bl w:val="nil"/>
                  </w:tcBorders>
                  <w:vAlign w:val="center"/>
                </w:tcPr>
                <w:p>
                  <w:pPr>
                    <w:jc w:val="center"/>
                    <w:rPr>
                      <w:color w:val="auto"/>
                      <w:sz w:val="21"/>
                      <w:szCs w:val="21"/>
                      <w:highlight w:val="none"/>
                    </w:rPr>
                  </w:pPr>
                  <w:r>
                    <w:rPr>
                      <w:color w:val="auto"/>
                      <w:sz w:val="21"/>
                      <w:szCs w:val="21"/>
                      <w:highlight w:val="none"/>
                    </w:rPr>
                    <w:t>/</w:t>
                  </w:r>
                </w:p>
              </w:tc>
              <w:tc>
                <w:tcPr>
                  <w:tcW w:w="1118" w:type="dxa"/>
                  <w:tcBorders>
                    <w:tl2br w:val="nil"/>
                    <w:tr2bl w:val="nil"/>
                  </w:tcBorders>
                  <w:vAlign w:val="center"/>
                </w:tcPr>
                <w:p>
                  <w:pPr>
                    <w:jc w:val="center"/>
                    <w:rPr>
                      <w:color w:val="auto"/>
                      <w:sz w:val="21"/>
                      <w:szCs w:val="21"/>
                      <w:highlight w:val="none"/>
                    </w:rPr>
                  </w:pPr>
                  <w:r>
                    <w:rPr>
                      <w:color w:val="auto"/>
                      <w:sz w:val="21"/>
                      <w:szCs w:val="21"/>
                      <w:highlight w:val="none"/>
                    </w:rPr>
                    <w:t>/</w:t>
                  </w:r>
                </w:p>
              </w:tc>
            </w:tr>
          </w:tbl>
          <w:p>
            <w:pPr>
              <w:tabs>
                <w:tab w:val="left" w:pos="7400"/>
              </w:tabs>
              <w:adjustRightInd w:val="0"/>
              <w:snapToGrid w:val="0"/>
              <w:jc w:val="center"/>
              <w:rPr>
                <w:rFonts w:hint="default" w:ascii="Times New Roman" w:hAnsi="Times New Roman" w:eastAsia="宋体" w:cs="Times New Roman"/>
                <w:bCs/>
                <w:color w:val="auto"/>
                <w:sz w:val="21"/>
                <w:szCs w:val="24"/>
                <w:lang w:val="en-US" w:eastAsia="zh-CN"/>
              </w:rPr>
            </w:pPr>
            <w:r>
              <w:rPr>
                <w:b/>
                <w:color w:val="auto"/>
                <w:sz w:val="21"/>
                <w:szCs w:val="21"/>
              </w:rPr>
              <w:t>表</w:t>
            </w:r>
            <w:r>
              <w:rPr>
                <w:rFonts w:hint="eastAsia"/>
                <w:b/>
                <w:color w:val="auto"/>
                <w:sz w:val="21"/>
                <w:szCs w:val="21"/>
              </w:rPr>
              <w:t>2-</w:t>
            </w:r>
            <w:r>
              <w:rPr>
                <w:rFonts w:hint="eastAsia"/>
                <w:b/>
                <w:color w:val="auto"/>
                <w:sz w:val="21"/>
                <w:szCs w:val="21"/>
                <w:lang w:val="en-US" w:eastAsia="zh-CN"/>
              </w:rPr>
              <w:t>4  无铅焊锡膏理化性质</w:t>
            </w:r>
            <w:r>
              <w:rPr>
                <w:rFonts w:hint="eastAsia"/>
                <w:b/>
                <w:color w:val="auto"/>
                <w:sz w:val="21"/>
                <w:szCs w:val="21"/>
              </w:rPr>
              <w:t>一览表</w:t>
            </w:r>
          </w:p>
          <w:tbl>
            <w:tblPr>
              <w:tblStyle w:val="30"/>
              <w:tblW w:w="499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24"/>
              <w:gridCol w:w="329"/>
              <w:gridCol w:w="243"/>
              <w:gridCol w:w="1268"/>
              <w:gridCol w:w="542"/>
              <w:gridCol w:w="554"/>
              <w:gridCol w:w="265"/>
              <w:gridCol w:w="541"/>
              <w:gridCol w:w="1570"/>
              <w:gridCol w:w="1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第1部分：物品与厂商资料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化学品中文名</w:t>
                  </w:r>
                  <w:r>
                    <w:rPr>
                      <w:rFonts w:hint="eastAsia" w:ascii="Times New Roman" w:hAnsi="Times New Roman" w:cs="Times New Roman"/>
                      <w:color w:val="auto"/>
                      <w:spacing w:val="0"/>
                      <w:w w:val="100"/>
                      <w:position w:val="0"/>
                      <w:sz w:val="21"/>
                      <w:szCs w:val="21"/>
                      <w:lang w:eastAsia="zh-CN"/>
                    </w:rPr>
                    <w:t>：</w:t>
                  </w:r>
                </w:p>
              </w:tc>
              <w:tc>
                <w:tcPr>
                  <w:tcW w:w="1105"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免清洗无铅锡膏</w:t>
                  </w:r>
                </w:p>
              </w:tc>
              <w:tc>
                <w:tcPr>
                  <w:tcW w:w="830"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企业名称：</w:t>
                  </w:r>
                </w:p>
              </w:tc>
              <w:tc>
                <w:tcPr>
                  <w:tcW w:w="2060"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深圳市唯特偶新材料股份有限公司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化学品英文名：</w:t>
                  </w:r>
                </w:p>
              </w:tc>
              <w:tc>
                <w:tcPr>
                  <w:tcW w:w="110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No-cleanLead-freeSolderPaste</w:t>
                  </w:r>
                </w:p>
              </w:tc>
              <w:tc>
                <w:tcPr>
                  <w:tcW w:w="830"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联系电话：</w:t>
                  </w:r>
                </w:p>
              </w:tc>
              <w:tc>
                <w:tcPr>
                  <w:tcW w:w="2060"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（86）755-61863001（十线）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0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kern w:val="0"/>
                      <w:position w:val="0"/>
                      <w:sz w:val="21"/>
                      <w:szCs w:val="21"/>
                      <w:lang w:val="en-US" w:eastAsia="zh-CN" w:bidi="ar-SA"/>
                    </w:rPr>
                  </w:pPr>
                  <w:r>
                    <w:rPr>
                      <w:rFonts w:hint="default" w:ascii="Times New Roman" w:hAnsi="Times New Roman" w:eastAsia="宋体" w:cs="Times New Roman"/>
                      <w:color w:val="auto"/>
                      <w:spacing w:val="0"/>
                      <w:w w:val="100"/>
                      <w:position w:val="0"/>
                      <w:sz w:val="21"/>
                      <w:szCs w:val="21"/>
                    </w:rPr>
                    <w:t>产品型号</w:t>
                  </w:r>
                  <w:r>
                    <w:rPr>
                      <w:rFonts w:hint="eastAsia" w:ascii="Times New Roman" w:hAnsi="Times New Roman" w:cs="Times New Roman"/>
                      <w:color w:val="auto"/>
                      <w:spacing w:val="0"/>
                      <w:w w:val="100"/>
                      <w:position w:val="0"/>
                      <w:sz w:val="21"/>
                      <w:szCs w:val="21"/>
                      <w:lang w:eastAsia="zh-CN"/>
                    </w:rPr>
                    <w:t>：</w:t>
                  </w:r>
                </w:p>
              </w:tc>
              <w:tc>
                <w:tcPr>
                  <w:tcW w:w="110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WTO-LF4000-FC/305-4A</w:t>
                  </w:r>
                </w:p>
              </w:tc>
              <w:tc>
                <w:tcPr>
                  <w:tcW w:w="830"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产品推荐及限制用途：</w:t>
                  </w:r>
                </w:p>
              </w:tc>
              <w:tc>
                <w:tcPr>
                  <w:tcW w:w="2060"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助焊剂与合金粉的混合物，用于</w:t>
                  </w:r>
                  <w:r>
                    <w:rPr>
                      <w:rFonts w:hint="default" w:ascii="Times New Roman" w:hAnsi="Times New Roman" w:eastAsia="宋体" w:cs="Times New Roman"/>
                      <w:color w:val="auto"/>
                      <w:spacing w:val="0"/>
                      <w:w w:val="100"/>
                      <w:position w:val="0"/>
                      <w:sz w:val="21"/>
                      <w:szCs w:val="21"/>
                    </w:rPr>
                    <w:fldChar w:fldCharType="begin"/>
                  </w:r>
                  <w:r>
                    <w:rPr>
                      <w:rFonts w:hint="default" w:ascii="Times New Roman" w:hAnsi="Times New Roman" w:eastAsia="宋体" w:cs="Times New Roman"/>
                      <w:color w:val="auto"/>
                      <w:spacing w:val="0"/>
                      <w:w w:val="100"/>
                      <w:position w:val="0"/>
                      <w:sz w:val="21"/>
                      <w:szCs w:val="21"/>
                    </w:rPr>
                    <w:instrText xml:space="preserve"> HYPERLINK "https://baike.baidu.com/item/SMT/263051" </w:instrText>
                  </w:r>
                  <w:r>
                    <w:rPr>
                      <w:rFonts w:hint="default" w:ascii="Times New Roman" w:hAnsi="Times New Roman" w:eastAsia="宋体" w:cs="Times New Roman"/>
                      <w:color w:val="auto"/>
                      <w:spacing w:val="0"/>
                      <w:w w:val="100"/>
                      <w:position w:val="0"/>
                      <w:sz w:val="21"/>
                      <w:szCs w:val="21"/>
                    </w:rPr>
                    <w:fldChar w:fldCharType="separate"/>
                  </w:r>
                  <w:r>
                    <w:rPr>
                      <w:rFonts w:hint="default" w:ascii="Times New Roman" w:hAnsi="Times New Roman" w:eastAsia="宋体" w:cs="Times New Roman"/>
                      <w:color w:val="auto"/>
                      <w:spacing w:val="0"/>
                      <w:w w:val="100"/>
                      <w:position w:val="0"/>
                      <w:sz w:val="21"/>
                      <w:szCs w:val="21"/>
                    </w:rPr>
                    <w:t>SMT</w:t>
                  </w:r>
                  <w:r>
                    <w:rPr>
                      <w:rFonts w:hint="default" w:ascii="Times New Roman" w:hAnsi="Times New Roman" w:eastAsia="宋体" w:cs="Times New Roman"/>
                      <w:color w:val="auto"/>
                      <w:spacing w:val="0"/>
                      <w:w w:val="100"/>
                      <w:position w:val="0"/>
                      <w:sz w:val="21"/>
                      <w:szCs w:val="21"/>
                    </w:rPr>
                    <w:fldChar w:fldCharType="end"/>
                  </w:r>
                  <w:r>
                    <w:rPr>
                      <w:rFonts w:hint="default" w:ascii="Times New Roman" w:hAnsi="Times New Roman" w:eastAsia="宋体" w:cs="Times New Roman"/>
                      <w:color w:val="auto"/>
                      <w:spacing w:val="0"/>
                      <w:w w:val="100"/>
                      <w:position w:val="0"/>
                      <w:sz w:val="21"/>
                      <w:szCs w:val="21"/>
                    </w:rPr>
                    <w:t>行业的焊接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第2部分：危害辨识资料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w w:val="100"/>
                      <w:kern w:val="0"/>
                      <w:position w:val="0"/>
                      <w:sz w:val="21"/>
                      <w:szCs w:val="21"/>
                      <w:lang w:val="en-US" w:eastAsia="zh-CN" w:bidi="ar-SA"/>
                    </w:rPr>
                  </w:pPr>
                  <w:r>
                    <w:rPr>
                      <w:rFonts w:hint="default" w:ascii="Times New Roman" w:hAnsi="Times New Roman" w:eastAsia="宋体" w:cs="Times New Roman"/>
                      <w:b/>
                      <w:bCs/>
                      <w:color w:val="auto"/>
                      <w:spacing w:val="0"/>
                      <w:w w:val="100"/>
                      <w:position w:val="0"/>
                      <w:sz w:val="21"/>
                      <w:szCs w:val="21"/>
                    </w:rPr>
                    <w:t>紧急情况概述</w:t>
                  </w:r>
                </w:p>
              </w:tc>
              <w:tc>
                <w:tcPr>
                  <w:tcW w:w="4345" w:type="pct"/>
                  <w:gridSpan w:val="9"/>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膏状均一物质，与皮肤接触可能会产生刺激，但不会产生危险，吞咽有害；反复暴露于高毒性材料将可能导致有害物质在人体器官中集聚，从而损害身体健康。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w w:val="100"/>
                      <w:kern w:val="0"/>
                      <w:position w:val="0"/>
                      <w:sz w:val="21"/>
                      <w:szCs w:val="21"/>
                      <w:lang w:val="en-US" w:eastAsia="zh-CN" w:bidi="ar-SA"/>
                    </w:rPr>
                  </w:pPr>
                  <w:r>
                    <w:rPr>
                      <w:rFonts w:hint="default" w:ascii="Times New Roman" w:hAnsi="Times New Roman" w:eastAsia="宋体" w:cs="Times New Roman"/>
                      <w:b/>
                      <w:bCs/>
                      <w:color w:val="auto"/>
                      <w:spacing w:val="0"/>
                      <w:w w:val="100"/>
                      <w:position w:val="0"/>
                      <w:sz w:val="21"/>
                      <w:szCs w:val="21"/>
                    </w:rPr>
                    <w:t>事故响应</w:t>
                  </w:r>
                </w:p>
              </w:tc>
              <w:tc>
                <w:tcPr>
                  <w:tcW w:w="4345" w:type="pct"/>
                  <w:gridSpan w:val="9"/>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如误吞咽，立即呼叫解毒中心/医生</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如误吸入：将受害人转移到新鲜气处，保持呼吸舒适的姿势休息</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如感觉不适，呼叫解毒中心或医生</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漱口</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不得诱导呕吐</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如进入眼睛：用水小心冲洗几分钟。如</w:t>
                  </w:r>
                  <w:r>
                    <w:rPr>
                      <w:rFonts w:hint="eastAsia" w:ascii="Times New Roman" w:hAnsi="Times New Roman" w:cs="Times New Roman"/>
                      <w:color w:val="auto"/>
                      <w:spacing w:val="0"/>
                      <w:w w:val="100"/>
                      <w:position w:val="0"/>
                      <w:sz w:val="21"/>
                      <w:szCs w:val="21"/>
                      <w:lang w:eastAsia="zh-CN"/>
                    </w:rPr>
                    <w:t>戴隐形眼镜</w:t>
                  </w:r>
                  <w:r>
                    <w:rPr>
                      <w:rFonts w:hint="default" w:ascii="Times New Roman" w:hAnsi="Times New Roman" w:eastAsia="宋体" w:cs="Times New Roman"/>
                      <w:color w:val="auto"/>
                      <w:spacing w:val="0"/>
                      <w:w w:val="100"/>
                      <w:position w:val="0"/>
                      <w:sz w:val="21"/>
                      <w:szCs w:val="21"/>
                    </w:rPr>
                    <w:t>并可方便</w:t>
                  </w:r>
                  <w:r>
                    <w:rPr>
                      <w:rFonts w:hint="eastAsia" w:ascii="Times New Roman" w:hAnsi="Times New Roman" w:cs="Times New Roman"/>
                      <w:color w:val="auto"/>
                      <w:spacing w:val="0"/>
                      <w:w w:val="100"/>
                      <w:position w:val="0"/>
                      <w:sz w:val="21"/>
                      <w:szCs w:val="21"/>
                      <w:lang w:eastAsia="zh-CN"/>
                    </w:rPr>
                    <w:t>地取出</w:t>
                  </w:r>
                  <w:r>
                    <w:rPr>
                      <w:rFonts w:hint="default" w:ascii="Times New Roman" w:hAnsi="Times New Roman" w:eastAsia="宋体" w:cs="Times New Roman"/>
                      <w:color w:val="auto"/>
                      <w:spacing w:val="0"/>
                      <w:w w:val="100"/>
                      <w:position w:val="0"/>
                      <w:sz w:val="21"/>
                      <w:szCs w:val="21"/>
                    </w:rPr>
                    <w:t>隐形</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眼镜，继续冲洗</w:t>
                  </w:r>
                  <w:r>
                    <w:rPr>
                      <w:rFonts w:hint="eastAsia" w:ascii="Times New Roman" w:hAnsi="Times New Roman" w:cs="Times New Roman"/>
                      <w:color w:val="auto"/>
                      <w:spacing w:val="0"/>
                      <w:w w:val="100"/>
                      <w:position w:val="0"/>
                      <w:sz w:val="21"/>
                      <w:szCs w:val="21"/>
                      <w:lang w:val="en-US" w:eastAsia="zh-CN"/>
                    </w:rPr>
                    <w:t>；</w:t>
                  </w:r>
                  <w:r>
                    <w:rPr>
                      <w:rFonts w:hint="default" w:ascii="Times New Roman" w:hAnsi="Times New Roman" w:eastAsia="宋体" w:cs="Times New Roman"/>
                      <w:color w:val="auto"/>
                      <w:spacing w:val="0"/>
                      <w:w w:val="100"/>
                      <w:position w:val="0"/>
                      <w:sz w:val="21"/>
                      <w:szCs w:val="21"/>
                    </w:rPr>
                    <w:t>如仍觉眼刺激：求医/就诊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w w:val="100"/>
                      <w:kern w:val="0"/>
                      <w:position w:val="0"/>
                      <w:sz w:val="21"/>
                      <w:szCs w:val="21"/>
                      <w:lang w:val="en-US" w:eastAsia="zh-CN" w:bidi="ar-SA"/>
                    </w:rPr>
                  </w:pPr>
                  <w:r>
                    <w:rPr>
                      <w:rFonts w:hint="default" w:ascii="Times New Roman" w:hAnsi="Times New Roman" w:eastAsia="宋体" w:cs="Times New Roman"/>
                      <w:b/>
                      <w:bCs/>
                      <w:color w:val="auto"/>
                      <w:spacing w:val="0"/>
                      <w:w w:val="100"/>
                      <w:position w:val="0"/>
                      <w:sz w:val="21"/>
                      <w:szCs w:val="21"/>
                    </w:rPr>
                    <w:t>安全储存</w:t>
                  </w:r>
                </w:p>
              </w:tc>
              <w:tc>
                <w:tcPr>
                  <w:tcW w:w="4345" w:type="pct"/>
                  <w:gridSpan w:val="9"/>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存放在通风良好的地方</w:t>
                  </w:r>
                  <w:r>
                    <w:rPr>
                      <w:rFonts w:hint="eastAsia" w:ascii="Times New Roman" w:hAnsi="Times New Roman"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保持容器密闭</w:t>
                  </w:r>
                  <w:r>
                    <w:rPr>
                      <w:rFonts w:hint="eastAsia" w:ascii="Times New Roman" w:hAnsi="Times New Roman"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存放处须加锁。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物理和化学危害</w:t>
                  </w:r>
                </w:p>
              </w:tc>
              <w:tc>
                <w:tcPr>
                  <w:tcW w:w="4345" w:type="pct"/>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膏状物体</w:t>
                  </w:r>
                  <w:r>
                    <w:rPr>
                      <w:rFonts w:hint="eastAsia"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较稳定，目前无燃烧爆炸危险性。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健康危害</w:t>
                  </w:r>
                </w:p>
              </w:tc>
              <w:tc>
                <w:tcPr>
                  <w:tcW w:w="4345" w:type="pct"/>
                  <w:gridSpan w:val="9"/>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皮肤</w:t>
                  </w:r>
                  <w:r>
                    <w:rPr>
                      <w:rFonts w:hint="default" w:ascii="Times New Roman" w:hAnsi="Times New Roman" w:eastAsia="宋体" w:cs="Times New Roman"/>
                      <w:color w:val="auto"/>
                      <w:spacing w:val="0"/>
                      <w:w w:val="100"/>
                      <w:position w:val="0"/>
                      <w:sz w:val="21"/>
                      <w:szCs w:val="21"/>
                    </w:rPr>
                    <w:t xml:space="preserve">：接触助焊剂或烟雾可能引起局部刺激反应 </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眼睛</w:t>
                  </w:r>
                  <w:r>
                    <w:rPr>
                      <w:rFonts w:hint="default" w:ascii="Times New Roman" w:hAnsi="Times New Roman" w:eastAsia="宋体" w:cs="Times New Roman"/>
                      <w:color w:val="auto"/>
                      <w:spacing w:val="0"/>
                      <w:w w:val="100"/>
                      <w:position w:val="0"/>
                      <w:sz w:val="21"/>
                      <w:szCs w:val="21"/>
                    </w:rPr>
                    <w:t>：焊接时烟雾会刺激眼睛。</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环境危害：</w:t>
                  </w:r>
                  <w:r>
                    <w:rPr>
                      <w:rFonts w:hint="default" w:ascii="Times New Roman" w:hAnsi="Times New Roman" w:eastAsia="宋体" w:cs="Times New Roman"/>
                      <w:color w:val="auto"/>
                      <w:spacing w:val="0"/>
                      <w:w w:val="100"/>
                      <w:position w:val="0"/>
                      <w:sz w:val="21"/>
                      <w:szCs w:val="21"/>
                    </w:rPr>
                    <w:t>受长期的影响，对水生生物有害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第3部分：成分辨识资料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材料名称</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CAS.No</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EC.No.</w:t>
                  </w:r>
                </w:p>
              </w:tc>
              <w:tc>
                <w:tcPr>
                  <w:tcW w:w="1288"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成分百分比</w:t>
                  </w:r>
                  <w:r>
                    <w:rPr>
                      <w:rFonts w:hint="eastAsia" w:ascii="Times New Roman" w:hAnsi="Times New Roman" w:eastAsia="宋体"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w/w%</w:t>
                  </w:r>
                  <w:r>
                    <w:rPr>
                      <w:rFonts w:hint="eastAsia" w:ascii="Times New Roman" w:hAnsi="Times New Roman" w:eastAsia="宋体" w:cs="Times New Roman"/>
                      <w:color w:val="auto"/>
                      <w:spacing w:val="0"/>
                      <w:w w:val="100"/>
                      <w:position w:val="0"/>
                      <w:sz w:val="21"/>
                      <w:szCs w:val="21"/>
                      <w:lang w:eastAsia="zh-CN"/>
                    </w:rPr>
                    <w:t>）</w:t>
                  </w:r>
                </w:p>
              </w:tc>
              <w:tc>
                <w:tcPr>
                  <w:tcW w:w="11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物质分类及图式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金属合金：</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w:t>
                  </w:r>
                </w:p>
              </w:tc>
              <w:tc>
                <w:tcPr>
                  <w:tcW w:w="1288"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余量</w:t>
                  </w:r>
                </w:p>
              </w:tc>
              <w:tc>
                <w:tcPr>
                  <w:tcW w:w="11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液体均匀物质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锡（Sn）</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7440-31-5</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231-141-8</w:t>
                  </w:r>
                </w:p>
              </w:tc>
              <w:tc>
                <w:tcPr>
                  <w:tcW w:w="1288" w:type="pct"/>
                  <w:gridSpan w:val="2"/>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余量</w:t>
                  </w:r>
                </w:p>
              </w:tc>
              <w:tc>
                <w:tcPr>
                  <w:tcW w:w="11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银（Ag）</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7440-22-4</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231-131-3</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3.0±0.2</w:t>
                  </w:r>
                </w:p>
              </w:tc>
              <w:tc>
                <w:tcPr>
                  <w:tcW w:w="11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铜（Cu）</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7440-50-8</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231-159-6</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0.5±0.1</w:t>
                  </w:r>
                </w:p>
              </w:tc>
              <w:tc>
                <w:tcPr>
                  <w:tcW w:w="11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助焊膏：</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11.80±0.50</w:t>
                  </w:r>
                </w:p>
              </w:tc>
              <w:tc>
                <w:tcPr>
                  <w:tcW w:w="11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氢化松香</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65997-06-0</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266-041-3</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3.00-10.00</w:t>
                  </w:r>
                </w:p>
              </w:tc>
              <w:tc>
                <w:tcPr>
                  <w:tcW w:w="110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助焊膏成分（均匀混合物）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树脂</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65997-05-9</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500-163-2</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2.30-5.50</w:t>
                  </w:r>
                </w:p>
              </w:tc>
              <w:tc>
                <w:tcPr>
                  <w:tcW w:w="11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5" w:type="pct"/>
                  <w:gridSpan w:val="3"/>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活化剂</w:t>
                  </w:r>
                </w:p>
              </w:tc>
              <w:tc>
                <w:tcPr>
                  <w:tcW w:w="92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68937-72-4</w:t>
                  </w:r>
                </w:p>
              </w:tc>
              <w:tc>
                <w:tcPr>
                  <w:tcW w:w="831"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273-084-1</w:t>
                  </w:r>
                </w:p>
              </w:tc>
              <w:tc>
                <w:tcPr>
                  <w:tcW w:w="128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2.00-5.00</w:t>
                  </w:r>
                </w:p>
              </w:tc>
              <w:tc>
                <w:tcPr>
                  <w:tcW w:w="110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b/>
                      <w:bCs/>
                      <w:color w:val="auto"/>
                      <w:spacing w:val="0"/>
                      <w:w w:val="100"/>
                      <w:positio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第4部分：急救措施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急救</w:t>
                  </w:r>
                </w:p>
              </w:tc>
              <w:tc>
                <w:tcPr>
                  <w:tcW w:w="4726" w:type="pct"/>
                  <w:gridSpan w:val="10"/>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吸入后</w:t>
                  </w:r>
                  <w:r>
                    <w:rPr>
                      <w:rFonts w:hint="eastAsia" w:ascii="Times New Roman" w:hAnsi="Times New Roman"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供给新鲜空气</w:t>
                  </w:r>
                  <w:r>
                    <w:rPr>
                      <w:rFonts w:hint="eastAsia" w:ascii="Times New Roman" w:hAnsi="Times New Roman"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如果病人感到不适时要询问医生。</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皮肤接触后</w:t>
                  </w:r>
                  <w:r>
                    <w:rPr>
                      <w:rFonts w:hint="eastAsia" w:ascii="Times New Roman" w:hAnsi="Times New Roman"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马上用水和肥皂进行彻底的冲洗。</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眼睛接触后</w:t>
                  </w:r>
                  <w:r>
                    <w:rPr>
                      <w:rFonts w:hint="eastAsia" w:ascii="Times New Roman" w:hAnsi="Times New Roman"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张开眼睛在流水下冲洗数分钟。如果症状仍然持续，请</w:t>
                  </w:r>
                  <w:r>
                    <w:rPr>
                      <w:rFonts w:hint="eastAsia" w:ascii="Times New Roman" w:hAnsi="Times New Roman" w:cs="Times New Roman"/>
                      <w:color w:val="auto"/>
                      <w:spacing w:val="0"/>
                      <w:w w:val="100"/>
                      <w:position w:val="0"/>
                      <w:sz w:val="21"/>
                      <w:szCs w:val="21"/>
                      <w:lang w:eastAsia="zh-CN"/>
                    </w:rPr>
                    <w:t>咨询</w:t>
                  </w:r>
                  <w:r>
                    <w:rPr>
                      <w:rFonts w:hint="default" w:ascii="Times New Roman" w:hAnsi="Times New Roman" w:eastAsia="宋体" w:cs="Times New Roman"/>
                      <w:color w:val="auto"/>
                      <w:spacing w:val="0"/>
                      <w:w w:val="100"/>
                      <w:position w:val="0"/>
                      <w:sz w:val="21"/>
                      <w:szCs w:val="21"/>
                    </w:rPr>
                    <w:t>医生。</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吞咽后</w:t>
                  </w:r>
                  <w:r>
                    <w:rPr>
                      <w:rFonts w:hint="eastAsia" w:ascii="Times New Roman" w:hAnsi="Times New Roman"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寻求即时的医疗建议。</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0"/>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给医生的资料：</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0"/>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最重要的急慢性症状及其影响：无相关详细资料。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0"/>
                      <w:w w:val="100"/>
                      <w:position w:val="0"/>
                      <w:sz w:val="21"/>
                      <w:szCs w:val="21"/>
                    </w:rPr>
                    <w:t>需要及时的医疗处理及特别处理的症状：无相关详细资料。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第5部分：消防（灭火）措施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灭火介质</w:t>
                  </w:r>
                </w:p>
              </w:tc>
              <w:tc>
                <w:tcPr>
                  <w:tcW w:w="4726" w:type="pct"/>
                  <w:gridSpan w:val="10"/>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合适的灭火剂</w:t>
                  </w:r>
                  <w:r>
                    <w:rPr>
                      <w:rFonts w:hint="eastAsia" w:ascii="Times New Roman" w:hAnsi="Times New Roman"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二氧化碳粉或水喷雾。对付大火灾耐水喷雾或酒精泡沫。</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特殊危害产生的物质或混合物：</w:t>
                  </w:r>
                  <w:r>
                    <w:rPr>
                      <w:rFonts w:hint="default" w:ascii="Times New Roman" w:hAnsi="Times New Roman" w:eastAsia="宋体" w:cs="Times New Roman"/>
                      <w:color w:val="auto"/>
                      <w:spacing w:val="0"/>
                      <w:w w:val="100"/>
                      <w:position w:val="0"/>
                      <w:sz w:val="21"/>
                      <w:szCs w:val="21"/>
                    </w:rPr>
                    <w:t>没有进一步的相关信息。</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outlineLvl w:val="0"/>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b/>
                      <w:bCs/>
                      <w:color w:val="auto"/>
                      <w:spacing w:val="0"/>
                      <w:w w:val="100"/>
                      <w:position w:val="0"/>
                      <w:sz w:val="21"/>
                      <w:szCs w:val="21"/>
                    </w:rPr>
                    <w:t>建议消防队员：</w:t>
                  </w:r>
                  <w:r>
                    <w:rPr>
                      <w:rFonts w:hint="default" w:ascii="Times New Roman" w:hAnsi="Times New Roman" w:eastAsia="宋体" w:cs="Times New Roman"/>
                      <w:color w:val="auto"/>
                      <w:spacing w:val="0"/>
                      <w:w w:val="100"/>
                      <w:position w:val="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0"/>
                      <w:w w:val="100"/>
                      <w:position w:val="0"/>
                      <w:sz w:val="21"/>
                      <w:szCs w:val="21"/>
                    </w:rPr>
                    <w:t>防护设备</w:t>
                  </w:r>
                  <w:r>
                    <w:rPr>
                      <w:rFonts w:hint="eastAsia" w:cs="Times New Roman"/>
                      <w:b/>
                      <w:bCs/>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不需要特殊的措施。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5"/>
                      <w:sz w:val="21"/>
                      <w:szCs w:val="21"/>
                    </w:rPr>
                    <w:t>第6部分：</w:t>
                  </w:r>
                  <w:r>
                    <w:rPr>
                      <w:rFonts w:hint="eastAsia" w:cs="Times New Roman"/>
                      <w:b/>
                      <w:bCs/>
                      <w:color w:val="auto"/>
                      <w:spacing w:val="-5"/>
                      <w:sz w:val="21"/>
                      <w:szCs w:val="21"/>
                      <w:lang w:eastAsia="zh-CN"/>
                    </w:rPr>
                    <w:t>泄漏</w:t>
                  </w:r>
                  <w:r>
                    <w:rPr>
                      <w:rFonts w:hint="default" w:ascii="Times New Roman" w:hAnsi="Times New Roman" w:eastAsia="宋体" w:cs="Times New Roman"/>
                      <w:b/>
                      <w:bCs/>
                      <w:color w:val="auto"/>
                      <w:spacing w:val="-5"/>
                      <w:sz w:val="21"/>
                      <w:szCs w:val="21"/>
                    </w:rPr>
                    <w:t>处理方法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0"/>
                      <w:w w:val="100"/>
                      <w:position w:val="0"/>
                      <w:sz w:val="21"/>
                      <w:szCs w:val="21"/>
                    </w:rPr>
                  </w:pPr>
                  <w:r>
                    <w:rPr>
                      <w:rFonts w:hint="eastAsia" w:cs="Times New Roman"/>
                      <w:b/>
                      <w:bCs/>
                      <w:color w:val="auto"/>
                      <w:spacing w:val="-5"/>
                      <w:sz w:val="21"/>
                      <w:szCs w:val="21"/>
                      <w:lang w:eastAsia="zh-CN"/>
                    </w:rPr>
                    <w:t>泄漏</w:t>
                  </w:r>
                  <w:r>
                    <w:rPr>
                      <w:rFonts w:hint="default" w:ascii="Times New Roman" w:hAnsi="Times New Roman" w:eastAsia="宋体" w:cs="Times New Roman"/>
                      <w:b/>
                      <w:bCs/>
                      <w:color w:val="auto"/>
                      <w:spacing w:val="-5"/>
                      <w:sz w:val="21"/>
                      <w:szCs w:val="21"/>
                    </w:rPr>
                    <w:t>处理方法</w:t>
                  </w:r>
                </w:p>
              </w:tc>
              <w:tc>
                <w:tcPr>
                  <w:tcW w:w="4726" w:type="pct"/>
                  <w:gridSpan w:val="10"/>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作业人员防护措施、防护装备</w:t>
                  </w:r>
                  <w:r>
                    <w:rPr>
                      <w:rFonts w:hint="default" w:ascii="Times New Roman" w:hAnsi="Times New Roman" w:eastAsia="宋体" w:cs="Times New Roman"/>
                      <w:color w:val="auto"/>
                      <w:spacing w:val="-5"/>
                      <w:sz w:val="21"/>
                      <w:szCs w:val="21"/>
                    </w:rPr>
                    <w:t>：确保通风，现场处理人员需戴防护镜和手套，穿防护服。</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1"/>
                      <w:sz w:val="21"/>
                      <w:szCs w:val="21"/>
                    </w:rPr>
                    <w:t>环境保护措施：</w:t>
                  </w:r>
                  <w:r>
                    <w:rPr>
                      <w:rFonts w:hint="default" w:ascii="Times New Roman" w:hAnsi="Times New Roman" w:eastAsia="宋体" w:cs="Times New Roman"/>
                      <w:color w:val="auto"/>
                      <w:spacing w:val="-1"/>
                      <w:sz w:val="21"/>
                      <w:szCs w:val="21"/>
                    </w:rPr>
                    <w:t>不允许进入下水道、地表水和地下水。</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5"/>
                      <w:sz w:val="21"/>
                      <w:szCs w:val="21"/>
                    </w:rPr>
                    <w:t>清洁/收集处置程序</w:t>
                  </w:r>
                  <w:r>
                    <w:rPr>
                      <w:rFonts w:hint="default" w:ascii="Times New Roman" w:hAnsi="Times New Roman" w:eastAsia="宋体" w:cs="Times New Roman"/>
                      <w:color w:val="auto"/>
                      <w:spacing w:val="-5"/>
                      <w:sz w:val="21"/>
                      <w:szCs w:val="21"/>
                    </w:rPr>
                    <w:t>：铲起锡膏，存放在合适的容器中，用醇醚类溶剂清理残余。</w:t>
                  </w:r>
                  <w:r>
                    <w:rPr>
                      <w:rFonts w:hint="default" w:ascii="Times New Roman" w:hAnsi="Times New Roman" w:eastAsia="宋体" w:cs="Times New Roman"/>
                      <w:b/>
                      <w:bCs/>
                      <w:color w:val="auto"/>
                      <w:spacing w:val="-2"/>
                      <w:sz w:val="21"/>
                      <w:szCs w:val="21"/>
                    </w:rPr>
                    <w:t>个人预防措施、保护设备和应急程序</w:t>
                  </w:r>
                  <w:r>
                    <w:rPr>
                      <w:rFonts w:hint="eastAsia" w:ascii="Times New Roman" w:hAnsi="Times New Roman" w:cs="Times New Roman"/>
                      <w:b/>
                      <w:bCs/>
                      <w:color w:val="auto"/>
                      <w:spacing w:val="-2"/>
                      <w:sz w:val="21"/>
                      <w:szCs w:val="21"/>
                      <w:lang w:eastAsia="zh-CN"/>
                    </w:rPr>
                    <w:t>：</w:t>
                  </w:r>
                  <w:r>
                    <w:rPr>
                      <w:rFonts w:hint="default" w:ascii="Times New Roman" w:hAnsi="Times New Roman" w:eastAsia="宋体" w:cs="Times New Roman"/>
                      <w:color w:val="auto"/>
                      <w:spacing w:val="-2"/>
                      <w:sz w:val="21"/>
                      <w:szCs w:val="21"/>
                    </w:rPr>
                    <w:t>不是必需的。</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4"/>
                      <w:sz w:val="21"/>
                      <w:szCs w:val="21"/>
                    </w:rPr>
                    <w:t>环境预防措施</w:t>
                  </w:r>
                  <w:r>
                    <w:rPr>
                      <w:rFonts w:hint="default" w:ascii="Times New Roman" w:hAnsi="Times New Roman" w:eastAsia="宋体" w:cs="Times New Roman"/>
                      <w:color w:val="auto"/>
                      <w:spacing w:val="4"/>
                      <w:sz w:val="21"/>
                      <w:szCs w:val="21"/>
                    </w:rPr>
                    <w:t>：不允许产品排放至污水排放系统或任何水源。若不</w:t>
                  </w:r>
                  <w:r>
                    <w:rPr>
                      <w:rFonts w:hint="default" w:ascii="Times New Roman" w:hAnsi="Times New Roman" w:eastAsia="宋体" w:cs="Times New Roman"/>
                      <w:color w:val="auto"/>
                      <w:spacing w:val="3"/>
                      <w:sz w:val="21"/>
                      <w:szCs w:val="21"/>
                    </w:rPr>
                    <w:t>慎将产品渗透进入水道或污</w:t>
                  </w:r>
                  <w:r>
                    <w:rPr>
                      <w:rFonts w:hint="default" w:ascii="Times New Roman" w:hAnsi="Times New Roman" w:eastAsia="宋体" w:cs="Times New Roman"/>
                      <w:color w:val="auto"/>
                      <w:spacing w:val="-1"/>
                      <w:sz w:val="21"/>
                      <w:szCs w:val="21"/>
                    </w:rPr>
                    <w:t>水系统要及时通知各自部门。不允许排入下水道/地表或地下水。</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3"/>
                      <w:sz w:val="21"/>
                      <w:szCs w:val="21"/>
                    </w:rPr>
                    <w:t>控制和清理的方法和材料</w:t>
                  </w:r>
                  <w:r>
                    <w:rPr>
                      <w:rFonts w:hint="eastAsia" w:ascii="Times New Roman" w:hAnsi="Times New Roman" w:cs="Times New Roman"/>
                      <w:b/>
                      <w:bCs/>
                      <w:color w:val="auto"/>
                      <w:spacing w:val="-3"/>
                      <w:sz w:val="21"/>
                      <w:szCs w:val="21"/>
                      <w:lang w:eastAsia="zh-CN"/>
                    </w:rPr>
                    <w:t>：</w:t>
                  </w:r>
                </w:p>
                <w:p>
                  <w:pPr>
                    <w:pStyle w:val="105"/>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1"/>
                      <w:sz w:val="21"/>
                      <w:szCs w:val="21"/>
                    </w:rPr>
                    <w:t>吸收保水性材料</w:t>
                  </w:r>
                  <w:r>
                    <w:rPr>
                      <w:rFonts w:hint="eastAsia" w:ascii="Times New Roman" w:hAnsi="Times New Roman" w:eastAsia="宋体" w:cs="Times New Roman"/>
                      <w:color w:val="auto"/>
                      <w:spacing w:val="-1"/>
                      <w:sz w:val="21"/>
                      <w:szCs w:val="21"/>
                      <w:lang w:eastAsia="zh-CN"/>
                    </w:rPr>
                    <w:t>（</w:t>
                  </w:r>
                  <w:r>
                    <w:rPr>
                      <w:rFonts w:hint="default" w:ascii="Times New Roman" w:hAnsi="Times New Roman" w:eastAsia="宋体" w:cs="Times New Roman"/>
                      <w:color w:val="auto"/>
                      <w:spacing w:val="-1"/>
                      <w:sz w:val="21"/>
                      <w:szCs w:val="21"/>
                    </w:rPr>
                    <w:t>砂、硅藻土、酸粘合剂，通</w:t>
                  </w:r>
                  <w:r>
                    <w:rPr>
                      <w:rFonts w:hint="default" w:ascii="Times New Roman" w:hAnsi="Times New Roman" w:eastAsia="宋体" w:cs="Times New Roman"/>
                      <w:color w:val="auto"/>
                      <w:spacing w:val="-2"/>
                      <w:sz w:val="21"/>
                      <w:szCs w:val="21"/>
                    </w:rPr>
                    <w:t>用胶黏剂、锯末</w:t>
                  </w:r>
                  <w:r>
                    <w:rPr>
                      <w:rFonts w:hint="eastAsia"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。确保足够通风。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b/>
                      <w:bCs/>
                      <w:color w:val="auto"/>
                      <w:spacing w:val="-5"/>
                      <w:sz w:val="21"/>
                      <w:szCs w:val="21"/>
                    </w:rPr>
                    <w:t>第</w:t>
                  </w:r>
                  <w:r>
                    <w:rPr>
                      <w:rFonts w:hint="eastAsia" w:ascii="Times New Roman" w:hAnsi="Times New Roman" w:eastAsia="宋体" w:cs="Times New Roman"/>
                      <w:b/>
                      <w:bCs/>
                      <w:color w:val="auto"/>
                      <w:spacing w:val="-5"/>
                      <w:sz w:val="21"/>
                      <w:szCs w:val="21"/>
                      <w:lang w:val="en-US" w:eastAsia="zh-CN"/>
                    </w:rPr>
                    <w:t>7</w:t>
                  </w:r>
                  <w:r>
                    <w:rPr>
                      <w:rFonts w:hint="default" w:ascii="Times New Roman" w:hAnsi="Times New Roman" w:eastAsia="宋体" w:cs="Times New Roman"/>
                      <w:b/>
                      <w:bCs/>
                      <w:color w:val="auto"/>
                      <w:spacing w:val="-5"/>
                      <w:sz w:val="21"/>
                      <w:szCs w:val="21"/>
                    </w:rPr>
                    <w:t>部分：理化特性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46" w:type="pct"/>
                  <w:gridSpan w:val="7"/>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1"/>
                      <w:position w:val="1"/>
                      <w:sz w:val="21"/>
                      <w:szCs w:val="21"/>
                    </w:rPr>
                    <w:t>物理状态/形状：均匀膏状物</w:t>
                  </w:r>
                </w:p>
              </w:tc>
              <w:tc>
                <w:tcPr>
                  <w:tcW w:w="255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2"/>
                      <w:sz w:val="21"/>
                      <w:szCs w:val="21"/>
                    </w:rPr>
                    <w:t>颜色：青灰色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46" w:type="pct"/>
                  <w:gridSpan w:val="7"/>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2"/>
                      <w:sz w:val="21"/>
                      <w:szCs w:val="21"/>
                    </w:rPr>
                    <w:t>气味：温和气味</w:t>
                  </w:r>
                </w:p>
              </w:tc>
              <w:tc>
                <w:tcPr>
                  <w:tcW w:w="255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2"/>
                      <w:position w:val="2"/>
                      <w:sz w:val="21"/>
                      <w:szCs w:val="21"/>
                    </w:rPr>
                    <w:t>合金相对密度（g/cm</w:t>
                  </w:r>
                  <w:r>
                    <w:rPr>
                      <w:rFonts w:hint="default" w:ascii="Times New Roman" w:hAnsi="Times New Roman" w:eastAsia="宋体" w:cs="Times New Roman"/>
                      <w:color w:val="auto"/>
                      <w:spacing w:val="-2"/>
                      <w:position w:val="2"/>
                      <w:sz w:val="21"/>
                      <w:szCs w:val="21"/>
                      <w:vertAlign w:val="superscript"/>
                    </w:rPr>
                    <w:t>3</w:t>
                  </w:r>
                  <w:r>
                    <w:rPr>
                      <w:rFonts w:hint="default" w:ascii="Times New Roman" w:hAnsi="Times New Roman" w:eastAsia="宋体" w:cs="Times New Roman"/>
                      <w:color w:val="auto"/>
                      <w:spacing w:val="-4"/>
                      <w:position w:val="2"/>
                      <w:sz w:val="21"/>
                      <w:szCs w:val="21"/>
                    </w:rPr>
                    <w:t>）：</w:t>
                  </w:r>
                  <w:r>
                    <w:rPr>
                      <w:rFonts w:hint="default" w:ascii="Times New Roman" w:hAnsi="Times New Roman" w:eastAsia="宋体" w:cs="Times New Roman"/>
                      <w:color w:val="auto"/>
                      <w:spacing w:val="-2"/>
                      <w:position w:val="2"/>
                      <w:sz w:val="21"/>
                      <w:szCs w:val="21"/>
                    </w:rPr>
                    <w:t>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446" w:type="pct"/>
                  <w:gridSpan w:val="7"/>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b/>
                      <w:bCs/>
                      <w:color w:val="auto"/>
                      <w:spacing w:val="0"/>
                      <w:w w:val="100"/>
                      <w:position w:val="0"/>
                      <w:sz w:val="21"/>
                      <w:szCs w:val="21"/>
                    </w:rPr>
                  </w:pPr>
                  <w:r>
                    <w:rPr>
                      <w:rFonts w:hint="default" w:ascii="Times New Roman" w:hAnsi="Times New Roman" w:eastAsia="宋体" w:cs="Times New Roman"/>
                      <w:color w:val="auto"/>
                      <w:spacing w:val="-8"/>
                      <w:sz w:val="21"/>
                      <w:szCs w:val="21"/>
                    </w:rPr>
                    <w:t>熔点</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rPr>
                    <w:t>℃</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8"/>
                      <w:sz w:val="21"/>
                      <w:szCs w:val="21"/>
                    </w:rPr>
                    <w:t>：217</w:t>
                  </w:r>
                </w:p>
              </w:tc>
              <w:tc>
                <w:tcPr>
                  <w:tcW w:w="2553" w:type="pct"/>
                  <w:gridSpan w:val="4"/>
                  <w:tcBorders>
                    <w:tl2br w:val="nil"/>
                    <w:tr2bl w:val="nil"/>
                  </w:tcBorders>
                  <w:noWrap w:val="0"/>
                  <w:vAlign w:val="center"/>
                </w:tcPr>
                <w:p>
                  <w:pPr>
                    <w:pStyle w:val="105"/>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spacing w:val="0"/>
                      <w:w w:val="100"/>
                      <w:position w:val="0"/>
                      <w:sz w:val="21"/>
                      <w:szCs w:val="21"/>
                      <w:lang w:val="en-US" w:eastAsia="zh-CN"/>
                    </w:rPr>
                  </w:pPr>
                  <w:r>
                    <w:rPr>
                      <w:rFonts w:hint="default" w:ascii="Times New Roman" w:hAnsi="Times New Roman" w:eastAsia="宋体" w:cs="Times New Roman"/>
                      <w:color w:val="auto"/>
                      <w:spacing w:val="-1"/>
                      <w:sz w:val="21"/>
                      <w:szCs w:val="21"/>
                    </w:rPr>
                    <w:t>爆炸极限：本产品不存在爆炸危险</w:t>
                  </w:r>
                </w:p>
              </w:tc>
            </w:tr>
          </w:tbl>
          <w:p>
            <w:pPr>
              <w:tabs>
                <w:tab w:val="left" w:pos="7400"/>
              </w:tabs>
              <w:adjustRightInd w:val="0"/>
              <w:snapToGrid w:val="0"/>
              <w:jc w:val="center"/>
              <w:rPr>
                <w:rFonts w:hint="default" w:ascii="Times New Roman" w:hAnsi="Times New Roman" w:eastAsia="宋体" w:cs="Times New Roman"/>
                <w:bCs/>
                <w:color w:val="auto"/>
                <w:sz w:val="21"/>
                <w:szCs w:val="24"/>
                <w:lang w:val="en-US" w:eastAsia="zh-CN"/>
              </w:rPr>
            </w:pPr>
            <w:r>
              <w:rPr>
                <w:b/>
                <w:color w:val="auto"/>
                <w:sz w:val="21"/>
                <w:szCs w:val="21"/>
              </w:rPr>
              <w:t>表</w:t>
            </w:r>
            <w:r>
              <w:rPr>
                <w:rFonts w:hint="eastAsia"/>
                <w:b/>
                <w:color w:val="auto"/>
                <w:sz w:val="21"/>
                <w:szCs w:val="21"/>
              </w:rPr>
              <w:t>2-</w:t>
            </w:r>
            <w:r>
              <w:rPr>
                <w:rFonts w:hint="eastAsia"/>
                <w:b/>
                <w:color w:val="auto"/>
                <w:sz w:val="21"/>
                <w:szCs w:val="21"/>
                <w:lang w:val="en-US" w:eastAsia="zh-CN"/>
              </w:rPr>
              <w:t>5  无铅焊锡丝理化性质</w:t>
            </w:r>
            <w:r>
              <w:rPr>
                <w:rFonts w:hint="eastAsia"/>
                <w:b/>
                <w:color w:val="auto"/>
                <w:sz w:val="21"/>
                <w:szCs w:val="21"/>
              </w:rPr>
              <w:t>一览表</w:t>
            </w:r>
          </w:p>
          <w:tbl>
            <w:tblPr>
              <w:tblStyle w:val="30"/>
              <w:tblW w:w="816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13"/>
              <w:gridCol w:w="212"/>
              <w:gridCol w:w="263"/>
              <w:gridCol w:w="1062"/>
              <w:gridCol w:w="75"/>
              <w:gridCol w:w="1140"/>
              <w:gridCol w:w="910"/>
              <w:gridCol w:w="132"/>
              <w:gridCol w:w="1306"/>
              <w:gridCol w:w="54"/>
              <w:gridCol w:w="13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1</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3"/>
                      <w:sz w:val="21"/>
                      <w:szCs w:val="21"/>
                    </w:rPr>
                    <w:t>化学品及企业标识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46" w:type="dxa"/>
                  <w:gridSpan w:val="10"/>
                  <w:tcBorders>
                    <w:tl2br w:val="nil"/>
                    <w:tr2bl w:val="nil"/>
                  </w:tcBorders>
                  <w:vAlign w:val="top"/>
                </w:tcPr>
                <w:p>
                  <w:pPr>
                    <w:pStyle w:val="105"/>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8"/>
                      <w:sz w:val="21"/>
                      <w:szCs w:val="21"/>
                    </w:rPr>
                    <w:t>公司名称</w:t>
                  </w:r>
                  <w:r>
                    <w:rPr>
                      <w:rFonts w:hint="default" w:ascii="Times New Roman" w:hAnsi="Times New Roman" w:eastAsia="宋体" w:cs="Times New Roman"/>
                      <w:color w:val="auto"/>
                      <w:spacing w:val="8"/>
                      <w:sz w:val="21"/>
                      <w:szCs w:val="21"/>
                    </w:rPr>
                    <w:t>：深圳市唯特偶新材料股份有限公司</w:t>
                  </w:r>
                </w:p>
                <w:p>
                  <w:pPr>
                    <w:pStyle w:val="105"/>
                    <w:keepNext w:val="0"/>
                    <w:keepLines w:val="0"/>
                    <w:pageBreakBefore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公司地址</w:t>
                  </w:r>
                  <w:r>
                    <w:rPr>
                      <w:rFonts w:hint="default" w:ascii="Times New Roman" w:hAnsi="Times New Roman" w:eastAsia="宋体" w:cs="Times New Roman"/>
                      <w:color w:val="auto"/>
                      <w:spacing w:val="8"/>
                      <w:sz w:val="21"/>
                      <w:szCs w:val="21"/>
                    </w:rPr>
                    <w:t>：深圳市龙岗区宝龙街道同乐社区水田一</w:t>
                  </w:r>
                  <w:r>
                    <w:rPr>
                      <w:rFonts w:hint="default" w:ascii="Times New Roman" w:hAnsi="Times New Roman" w:eastAsia="宋体" w:cs="Times New Roman"/>
                      <w:color w:val="auto"/>
                      <w:spacing w:val="7"/>
                      <w:sz w:val="21"/>
                      <w:szCs w:val="21"/>
                    </w:rPr>
                    <w:t>路18号唯特偶工业园</w:t>
                  </w:r>
                </w:p>
              </w:tc>
              <w:tc>
                <w:tcPr>
                  <w:tcW w:w="1418"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产品名称</w:t>
                  </w:r>
                  <w:r>
                    <w:rPr>
                      <w:rFonts w:hint="default" w:ascii="Times New Roman" w:hAnsi="Times New Roman" w:eastAsia="宋体" w:cs="Times New Roman"/>
                      <w:color w:val="auto"/>
                      <w:spacing w:val="8"/>
                      <w:sz w:val="21"/>
                      <w:szCs w:val="21"/>
                    </w:rPr>
                    <w:t>：无铅焊锡丝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46" w:type="dxa"/>
                  <w:gridSpan w:val="10"/>
                  <w:tcBorders>
                    <w:tl2br w:val="nil"/>
                    <w:tr2bl w:val="nil"/>
                  </w:tcBorders>
                  <w:vAlign w:val="top"/>
                </w:tcPr>
                <w:p>
                  <w:pPr>
                    <w:pStyle w:val="105"/>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7"/>
                      <w:sz w:val="21"/>
                      <w:szCs w:val="21"/>
                    </w:rPr>
                    <w:t>联系/应急电话</w:t>
                  </w:r>
                  <w:r>
                    <w:rPr>
                      <w:rFonts w:hint="default" w:ascii="Times New Roman" w:hAnsi="Times New Roman" w:eastAsia="宋体" w:cs="Times New Roman"/>
                      <w:color w:val="auto"/>
                      <w:spacing w:val="-54"/>
                      <w:sz w:val="21"/>
                      <w:szCs w:val="21"/>
                    </w:rPr>
                    <w:t>：</w:t>
                  </w:r>
                  <w:r>
                    <w:rPr>
                      <w:rFonts w:hint="eastAsia" w:ascii="Times New Roman" w:hAnsi="Times New Roman" w:cs="Times New Roman"/>
                      <w:color w:val="auto"/>
                      <w:spacing w:val="0"/>
                      <w:kern w:val="0"/>
                      <w:sz w:val="21"/>
                      <w:szCs w:val="21"/>
                      <w:lang w:val="en-US" w:eastAsia="zh-CN"/>
                    </w:rPr>
                    <w:t>86-</w:t>
                  </w:r>
                  <w:r>
                    <w:rPr>
                      <w:rFonts w:hint="default" w:ascii="Times New Roman" w:hAnsi="Times New Roman" w:eastAsia="宋体" w:cs="Times New Roman"/>
                      <w:color w:val="auto"/>
                      <w:spacing w:val="0"/>
                      <w:kern w:val="0"/>
                      <w:sz w:val="21"/>
                      <w:szCs w:val="21"/>
                    </w:rPr>
                    <w:t>755-61863001</w:t>
                  </w:r>
                  <w:r>
                    <w:rPr>
                      <w:rFonts w:hint="default" w:ascii="Times New Roman" w:hAnsi="Times New Roman" w:eastAsia="宋体" w:cs="Times New Roman"/>
                      <w:color w:val="auto"/>
                      <w:spacing w:val="7"/>
                      <w:sz w:val="21"/>
                      <w:szCs w:val="21"/>
                    </w:rPr>
                    <w:t>（十线）</w:t>
                  </w:r>
                  <w:r>
                    <w:rPr>
                      <w:rFonts w:hint="default" w:ascii="Times New Roman" w:hAnsi="Times New Roman" w:eastAsia="宋体" w:cs="Times New Roman"/>
                      <w:b/>
                      <w:bCs/>
                      <w:color w:val="auto"/>
                      <w:spacing w:val="7"/>
                      <w:sz w:val="21"/>
                      <w:szCs w:val="21"/>
                    </w:rPr>
                    <w:t>传真</w:t>
                  </w:r>
                  <w:r>
                    <w:rPr>
                      <w:rFonts w:hint="default" w:ascii="Times New Roman" w:hAnsi="Times New Roman" w:eastAsia="宋体" w:cs="Times New Roman"/>
                      <w:color w:val="auto"/>
                      <w:spacing w:val="-54"/>
                      <w:sz w:val="21"/>
                      <w:szCs w:val="21"/>
                    </w:rPr>
                    <w:t>：</w:t>
                  </w:r>
                  <w:r>
                    <w:rPr>
                      <w:rFonts w:hint="eastAsia" w:ascii="Times New Roman" w:hAnsi="Times New Roman" w:eastAsia="宋体" w:cs="Times New Roman"/>
                      <w:snapToGrid w:val="0"/>
                      <w:color w:val="auto"/>
                      <w:kern w:val="0"/>
                      <w:sz w:val="24"/>
                      <w:lang w:val="en-US" w:eastAsia="zh-CN"/>
                    </w:rPr>
                    <w:t>86-</w:t>
                  </w:r>
                  <w:r>
                    <w:rPr>
                      <w:rFonts w:hint="default" w:ascii="Times New Roman" w:hAnsi="Times New Roman" w:eastAsia="宋体" w:cs="Times New Roman"/>
                      <w:color w:val="auto"/>
                      <w:spacing w:val="7"/>
                      <w:sz w:val="21"/>
                      <w:szCs w:val="21"/>
                    </w:rPr>
                    <w:t>755-84856654</w:t>
                  </w:r>
                </w:p>
                <w:p>
                  <w:pPr>
                    <w:pStyle w:val="105"/>
                    <w:keepNext w:val="0"/>
                    <w:keepLines w:val="0"/>
                    <w:pageBreakBefore w:val="0"/>
                    <w:kinsoku/>
                    <w:wordWrap/>
                    <w:overflowPunct/>
                    <w:topLinePunct w:val="0"/>
                    <w:autoSpaceDE/>
                    <w:autoSpaceDN/>
                    <w:bidi w:val="0"/>
                    <w:adjustRightInd/>
                    <w:snapToGrid/>
                    <w:spacing w:line="240" w:lineRule="auto"/>
                    <w:ind w:left="0" w:leftChars="0" w:right="0"/>
                    <w:jc w:val="left"/>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邮件地址</w:t>
                  </w:r>
                  <w:r>
                    <w:rPr>
                      <w:rFonts w:hint="default" w:ascii="Times New Roman" w:hAnsi="Times New Roman" w:eastAsia="宋体" w:cs="Times New Roman"/>
                      <w:color w:val="auto"/>
                      <w:spacing w:val="5"/>
                      <w:sz w:val="21"/>
                      <w:szCs w:val="21"/>
                    </w:rPr>
                    <w:t>：</w:t>
                  </w:r>
                  <w:r>
                    <w:rPr>
                      <w:rFonts w:hint="default" w:ascii="Times New Roman" w:hAnsi="Times New Roman" w:eastAsia="宋体" w:cs="Times New Roman"/>
                      <w:color w:val="auto"/>
                      <w:sz w:val="21"/>
                      <w:szCs w:val="21"/>
                      <w:u w:val="none" w:color="auto"/>
                    </w:rPr>
                    <w:fldChar w:fldCharType="begin"/>
                  </w:r>
                  <w:r>
                    <w:rPr>
                      <w:rFonts w:hint="default" w:ascii="Times New Roman" w:hAnsi="Times New Roman" w:eastAsia="宋体" w:cs="Times New Roman"/>
                      <w:color w:val="auto"/>
                      <w:sz w:val="21"/>
                      <w:szCs w:val="21"/>
                      <w:u w:val="none" w:color="auto"/>
                    </w:rPr>
                    <w:instrText xml:space="preserve"> HYPERLINK "mailto:vital@vitalchemical.com" </w:instrText>
                  </w:r>
                  <w:r>
                    <w:rPr>
                      <w:rFonts w:hint="default" w:ascii="Times New Roman" w:hAnsi="Times New Roman" w:eastAsia="宋体" w:cs="Times New Roman"/>
                      <w:color w:val="auto"/>
                      <w:sz w:val="21"/>
                      <w:szCs w:val="21"/>
                      <w:u w:val="none" w:color="auto"/>
                    </w:rPr>
                    <w:fldChar w:fldCharType="separate"/>
                  </w:r>
                  <w:r>
                    <w:rPr>
                      <w:rFonts w:hint="default" w:ascii="Times New Roman" w:hAnsi="Times New Roman" w:eastAsia="宋体" w:cs="Times New Roman"/>
                      <w:color w:val="auto"/>
                      <w:sz w:val="21"/>
                      <w:szCs w:val="21"/>
                      <w:u w:val="none" w:color="auto"/>
                    </w:rPr>
                    <w:t>vital</w:t>
                  </w:r>
                  <w:r>
                    <w:rPr>
                      <w:rFonts w:hint="default" w:ascii="Times New Roman" w:hAnsi="Times New Roman" w:eastAsia="宋体" w:cs="Times New Roman"/>
                      <w:color w:val="auto"/>
                      <w:spacing w:val="5"/>
                      <w:sz w:val="21"/>
                      <w:szCs w:val="21"/>
                      <w:u w:val="none" w:color="auto"/>
                    </w:rPr>
                    <w:t>@</w:t>
                  </w:r>
                  <w:r>
                    <w:rPr>
                      <w:rFonts w:hint="default" w:ascii="Times New Roman" w:hAnsi="Times New Roman" w:eastAsia="宋体" w:cs="Times New Roman"/>
                      <w:color w:val="auto"/>
                      <w:sz w:val="21"/>
                      <w:szCs w:val="21"/>
                      <w:u w:val="none" w:color="auto"/>
                    </w:rPr>
                    <w:t>vitalchemical</w:t>
                  </w:r>
                  <w:r>
                    <w:rPr>
                      <w:rFonts w:hint="default" w:ascii="Times New Roman" w:hAnsi="Times New Roman" w:eastAsia="宋体" w:cs="Times New Roman"/>
                      <w:color w:val="auto"/>
                      <w:spacing w:val="5"/>
                      <w:sz w:val="21"/>
                      <w:szCs w:val="21"/>
                      <w:u w:val="none" w:color="auto"/>
                    </w:rPr>
                    <w:t>.</w:t>
                  </w:r>
                  <w:r>
                    <w:rPr>
                      <w:rFonts w:hint="default" w:ascii="Times New Roman" w:hAnsi="Times New Roman" w:eastAsia="宋体" w:cs="Times New Roman"/>
                      <w:color w:val="auto"/>
                      <w:sz w:val="21"/>
                      <w:szCs w:val="21"/>
                      <w:u w:val="none" w:color="auto"/>
                    </w:rPr>
                    <w:t>com</w:t>
                  </w:r>
                  <w:r>
                    <w:rPr>
                      <w:rFonts w:hint="default" w:ascii="Times New Roman" w:hAnsi="Times New Roman" w:eastAsia="宋体" w:cs="Times New Roman"/>
                      <w:color w:val="auto"/>
                      <w:sz w:val="21"/>
                      <w:szCs w:val="21"/>
                      <w:u w:val="none" w:color="auto"/>
                    </w:rPr>
                    <w:fldChar w:fldCharType="end"/>
                  </w:r>
                  <w:r>
                    <w:rPr>
                      <w:rFonts w:hint="eastAsia" w:ascii="Times New Roman" w:hAnsi="Times New Roman" w:eastAsia="宋体" w:cs="Times New Roman"/>
                      <w:color w:val="auto"/>
                      <w:sz w:val="21"/>
                      <w:szCs w:val="21"/>
                      <w:u w:val="none" w:color="auto"/>
                      <w:lang w:val="en-US" w:eastAsia="zh-CN"/>
                    </w:rPr>
                    <w:t xml:space="preserve">    </w:t>
                  </w:r>
                  <w:r>
                    <w:rPr>
                      <w:rFonts w:hint="default" w:ascii="Times New Roman" w:hAnsi="Times New Roman" w:eastAsia="宋体" w:cs="Times New Roman"/>
                      <w:b/>
                      <w:bCs/>
                      <w:color w:val="auto"/>
                      <w:spacing w:val="5"/>
                      <w:sz w:val="21"/>
                      <w:szCs w:val="21"/>
                    </w:rPr>
                    <w:t>邮政编码</w:t>
                  </w:r>
                  <w:r>
                    <w:rPr>
                      <w:rFonts w:hint="default" w:ascii="Times New Roman" w:hAnsi="Times New Roman" w:eastAsia="宋体" w:cs="Times New Roman"/>
                      <w:color w:val="auto"/>
                      <w:spacing w:val="5"/>
                      <w:sz w:val="21"/>
                      <w:szCs w:val="21"/>
                    </w:rPr>
                    <w:t>：518116</w:t>
                  </w:r>
                </w:p>
              </w:tc>
              <w:tc>
                <w:tcPr>
                  <w:tcW w:w="1418"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6"/>
                      <w:sz w:val="21"/>
                      <w:szCs w:val="21"/>
                    </w:rPr>
                    <w:t>产品型号</w:t>
                  </w:r>
                  <w:r>
                    <w:rPr>
                      <w:rFonts w:hint="default" w:ascii="Times New Roman" w:hAnsi="Times New Roman" w:eastAsia="宋体" w:cs="Times New Roman"/>
                      <w:color w:val="auto"/>
                      <w:spacing w:val="6"/>
                      <w:sz w:val="21"/>
                      <w:szCs w:val="21"/>
                    </w:rPr>
                    <w:t>：</w:t>
                  </w:r>
                  <w:r>
                    <w:rPr>
                      <w:rFonts w:hint="default" w:ascii="Times New Roman" w:hAnsi="Times New Roman" w:eastAsia="宋体" w:cs="Times New Roman"/>
                      <w:color w:val="auto"/>
                      <w:sz w:val="21"/>
                      <w:szCs w:val="21"/>
                    </w:rPr>
                    <w:t>GW</w:t>
                  </w:r>
                  <w:r>
                    <w:rPr>
                      <w:rFonts w:hint="default" w:ascii="Times New Roman" w:hAnsi="Times New Roman" w:eastAsia="宋体" w:cs="Times New Roman"/>
                      <w:color w:val="auto"/>
                      <w:spacing w:val="6"/>
                      <w:sz w:val="21"/>
                      <w:szCs w:val="21"/>
                    </w:rPr>
                    <w:t>-007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2</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3"/>
                      <w:sz w:val="21"/>
                      <w:szCs w:val="21"/>
                    </w:rPr>
                    <w:t>危害性概述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858" w:type="dxa"/>
                  <w:gridSpan w:val="3"/>
                  <w:tcBorders>
                    <w:tl2br w:val="nil"/>
                    <w:tr2bl w:val="nil"/>
                  </w:tcBorders>
                </w:tcPr>
                <w:p>
                  <w:pPr>
                    <w:pStyle w:val="105"/>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皮肤接触</w:t>
                  </w:r>
                </w:p>
              </w:tc>
              <w:tc>
                <w:tcPr>
                  <w:tcW w:w="6306" w:type="dxa"/>
                  <w:gridSpan w:val="9"/>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8"/>
                      <w:sz w:val="21"/>
                      <w:szCs w:val="21"/>
                    </w:rPr>
                    <w:t>与皮肤接触不产生刺激，也不会产生危险。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特殊的危险性质</w:t>
                  </w:r>
                </w:p>
              </w:tc>
              <w:tc>
                <w:tcPr>
                  <w:tcW w:w="6306" w:type="dxa"/>
                  <w:gridSpan w:val="9"/>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8"/>
                      <w:sz w:val="21"/>
                      <w:szCs w:val="21"/>
                    </w:rPr>
                    <w:t>高温时，会烫伤人体皮肤。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3</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3"/>
                      <w:sz w:val="21"/>
                      <w:szCs w:val="21"/>
                    </w:rPr>
                    <w:t>成分/组成信息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433"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6"/>
                      <w:sz w:val="21"/>
                      <w:szCs w:val="21"/>
                    </w:rPr>
                    <w:t>材料名称</w:t>
                  </w:r>
                </w:p>
              </w:tc>
              <w:tc>
                <w:tcPr>
                  <w:tcW w:w="1825"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CAS</w:t>
                  </w:r>
                  <w:r>
                    <w:rPr>
                      <w:rFonts w:hint="default" w:ascii="Times New Roman" w:hAnsi="Times New Roman" w:eastAsia="宋体" w:cs="Times New Roman"/>
                      <w:b/>
                      <w:bCs/>
                      <w:color w:val="auto"/>
                      <w:spacing w:val="9"/>
                      <w:sz w:val="21"/>
                      <w:szCs w:val="21"/>
                    </w:rPr>
                    <w:t>.</w:t>
                  </w:r>
                  <w:r>
                    <w:rPr>
                      <w:rFonts w:hint="default" w:ascii="Times New Roman" w:hAnsi="Times New Roman" w:eastAsia="宋体" w:cs="Times New Roman"/>
                      <w:b/>
                      <w:bCs/>
                      <w:color w:val="auto"/>
                      <w:sz w:val="21"/>
                      <w:szCs w:val="21"/>
                    </w:rPr>
                    <w:t>No</w:t>
                  </w:r>
                  <w:r>
                    <w:rPr>
                      <w:rFonts w:hint="default" w:ascii="Times New Roman" w:hAnsi="Times New Roman" w:eastAsia="宋体" w:cs="Times New Roman"/>
                      <w:b/>
                      <w:bCs/>
                      <w:color w:val="auto"/>
                      <w:spacing w:val="9"/>
                      <w:sz w:val="21"/>
                      <w:szCs w:val="21"/>
                    </w:rPr>
                    <w:t>.</w:t>
                  </w:r>
                </w:p>
              </w:tc>
              <w:tc>
                <w:tcPr>
                  <w:tcW w:w="205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浓度范围（%）</w:t>
                  </w:r>
                </w:p>
              </w:tc>
              <w:tc>
                <w:tcPr>
                  <w:tcW w:w="2856" w:type="dxa"/>
                  <w:gridSpan w:val="4"/>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7"/>
                      <w:sz w:val="21"/>
                      <w:szCs w:val="21"/>
                    </w:rPr>
                    <w:t>物质分类、图式</w:t>
                  </w:r>
                  <w:r>
                    <w:rPr>
                      <w:rFonts w:hint="eastAsia" w:ascii="Times New Roman" w:hAnsi="Times New Roman" w:cs="Times New Roman"/>
                      <w:b/>
                      <w:bCs/>
                      <w:color w:val="auto"/>
                      <w:spacing w:val="7"/>
                      <w:sz w:val="21"/>
                      <w:szCs w:val="21"/>
                      <w:lang w:eastAsia="zh-CN"/>
                    </w:rPr>
                    <w:t>及其他</w:t>
                  </w:r>
                  <w:r>
                    <w:rPr>
                      <w:rFonts w:hint="default" w:ascii="Times New Roman" w:hAnsi="Times New Roman" w:eastAsia="宋体" w:cs="Times New Roman"/>
                      <w:b/>
                      <w:bCs/>
                      <w:color w:val="auto"/>
                      <w:spacing w:val="7"/>
                      <w:sz w:val="21"/>
                      <w:szCs w:val="21"/>
                    </w:rPr>
                    <w:t>说明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433"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4"/>
                      <w:sz w:val="21"/>
                      <w:szCs w:val="21"/>
                    </w:rPr>
                    <w:t>锡（</w:t>
                  </w:r>
                  <w:r>
                    <w:rPr>
                      <w:rFonts w:hint="default" w:ascii="Times New Roman" w:hAnsi="Times New Roman" w:eastAsia="宋体" w:cs="Times New Roman"/>
                      <w:color w:val="auto"/>
                      <w:sz w:val="21"/>
                      <w:szCs w:val="21"/>
                    </w:rPr>
                    <w:t>Sn</w:t>
                  </w:r>
                  <w:r>
                    <w:rPr>
                      <w:rFonts w:hint="default" w:ascii="Times New Roman" w:hAnsi="Times New Roman" w:eastAsia="宋体" w:cs="Times New Roman"/>
                      <w:color w:val="auto"/>
                      <w:spacing w:val="4"/>
                      <w:sz w:val="21"/>
                      <w:szCs w:val="21"/>
                    </w:rPr>
                    <w:t>）</w:t>
                  </w:r>
                </w:p>
              </w:tc>
              <w:tc>
                <w:tcPr>
                  <w:tcW w:w="1825"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3"/>
                      <w:sz w:val="21"/>
                      <w:szCs w:val="21"/>
                    </w:rPr>
                    <w:t>7440-31-5</w:t>
                  </w:r>
                </w:p>
              </w:tc>
              <w:tc>
                <w:tcPr>
                  <w:tcW w:w="205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4"/>
                      <w:sz w:val="21"/>
                      <w:szCs w:val="21"/>
                    </w:rPr>
                    <w:t>余量</w:t>
                  </w:r>
                </w:p>
              </w:tc>
              <w:tc>
                <w:tcPr>
                  <w:tcW w:w="2856" w:type="dxa"/>
                  <w:gridSpan w:val="4"/>
                  <w:vMerge w:val="restart"/>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7"/>
                      <w:sz w:val="21"/>
                      <w:szCs w:val="21"/>
                    </w:rPr>
                    <w:t>合金成分</w:t>
                  </w:r>
                </w:p>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（均匀混合物）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433"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4"/>
                      <w:sz w:val="21"/>
                      <w:szCs w:val="21"/>
                    </w:rPr>
                    <w:t>铜（</w:t>
                  </w:r>
                  <w:r>
                    <w:rPr>
                      <w:rFonts w:hint="default" w:ascii="Times New Roman" w:hAnsi="Times New Roman" w:eastAsia="宋体" w:cs="Times New Roman"/>
                      <w:color w:val="auto"/>
                      <w:sz w:val="21"/>
                      <w:szCs w:val="21"/>
                    </w:rPr>
                    <w:t>Cu</w:t>
                  </w:r>
                  <w:r>
                    <w:rPr>
                      <w:rFonts w:hint="default" w:ascii="Times New Roman" w:hAnsi="Times New Roman" w:eastAsia="宋体" w:cs="Times New Roman"/>
                      <w:color w:val="auto"/>
                      <w:spacing w:val="4"/>
                      <w:sz w:val="21"/>
                      <w:szCs w:val="21"/>
                    </w:rPr>
                    <w:t>）</w:t>
                  </w:r>
                </w:p>
              </w:tc>
              <w:tc>
                <w:tcPr>
                  <w:tcW w:w="1825"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3"/>
                      <w:sz w:val="21"/>
                      <w:szCs w:val="21"/>
                    </w:rPr>
                    <w:t>7440-50-8</w:t>
                  </w:r>
                </w:p>
              </w:tc>
              <w:tc>
                <w:tcPr>
                  <w:tcW w:w="205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2"/>
                      <w:sz w:val="21"/>
                      <w:szCs w:val="21"/>
                    </w:rPr>
                    <w:t>0.7±0.1</w:t>
                  </w:r>
                </w:p>
              </w:tc>
              <w:tc>
                <w:tcPr>
                  <w:tcW w:w="2856" w:type="dxa"/>
                  <w:gridSpan w:val="4"/>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433"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6"/>
                      <w:sz w:val="21"/>
                      <w:szCs w:val="21"/>
                    </w:rPr>
                    <w:t>助焊剂</w:t>
                  </w:r>
                </w:p>
              </w:tc>
              <w:tc>
                <w:tcPr>
                  <w:tcW w:w="1825" w:type="dxa"/>
                  <w:gridSpan w:val="5"/>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2"/>
                      <w:sz w:val="21"/>
                      <w:szCs w:val="21"/>
                    </w:rPr>
                    <w:t>8050-09-7</w:t>
                  </w:r>
                </w:p>
              </w:tc>
              <w:tc>
                <w:tcPr>
                  <w:tcW w:w="205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4"/>
                      <w:position w:val="1"/>
                      <w:sz w:val="21"/>
                      <w:szCs w:val="21"/>
                    </w:rPr>
                    <w:t>0.0～3.0</w:t>
                  </w:r>
                </w:p>
              </w:tc>
              <w:tc>
                <w:tcPr>
                  <w:tcW w:w="2856"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4</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6"/>
                      <w:sz w:val="21"/>
                      <w:szCs w:val="21"/>
                    </w:rPr>
                    <w:t>急救措施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6"/>
                      <w:sz w:val="21"/>
                      <w:szCs w:val="21"/>
                    </w:rPr>
                    <w:t>紧急情况下的急救措施</w:t>
                  </w:r>
                </w:p>
              </w:tc>
              <w:tc>
                <w:tcPr>
                  <w:tcW w:w="6306" w:type="dxa"/>
                  <w:gridSpan w:val="9"/>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6"/>
                      <w:position w:val="1"/>
                      <w:sz w:val="21"/>
                      <w:szCs w:val="21"/>
                    </w:rPr>
                  </w:pPr>
                  <w:r>
                    <w:rPr>
                      <w:rFonts w:hint="default" w:ascii="Times New Roman" w:hAnsi="Times New Roman" w:eastAsia="宋体" w:cs="Times New Roman"/>
                      <w:b/>
                      <w:bCs/>
                      <w:color w:val="auto"/>
                      <w:spacing w:val="6"/>
                      <w:position w:val="1"/>
                      <w:sz w:val="21"/>
                      <w:szCs w:val="21"/>
                    </w:rPr>
                    <w:t>不慎吸入</w:t>
                  </w:r>
                  <w:r>
                    <w:rPr>
                      <w:rFonts w:hint="default" w:ascii="Times New Roman" w:hAnsi="Times New Roman" w:eastAsia="宋体" w:cs="Times New Roman"/>
                      <w:color w:val="auto"/>
                      <w:spacing w:val="6"/>
                      <w:position w:val="1"/>
                      <w:sz w:val="21"/>
                      <w:szCs w:val="21"/>
                    </w:rPr>
                    <w:t>：立即清理呼吸系统。</w:t>
                  </w:r>
                </w:p>
                <w:p>
                  <w:pPr>
                    <w:pStyle w:val="105"/>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8"/>
                      <w:sz w:val="21"/>
                      <w:szCs w:val="21"/>
                    </w:rPr>
                    <w:t>皮肤接触</w:t>
                  </w:r>
                  <w:r>
                    <w:rPr>
                      <w:rFonts w:hint="default" w:ascii="Times New Roman" w:hAnsi="Times New Roman" w:eastAsia="宋体" w:cs="Times New Roman"/>
                      <w:color w:val="auto"/>
                      <w:spacing w:val="8"/>
                      <w:sz w:val="21"/>
                      <w:szCs w:val="21"/>
                    </w:rPr>
                    <w:t>：高温烫伤时，应立即涂敷烫伤药膏</w:t>
                  </w:r>
                  <w:r>
                    <w:rPr>
                      <w:rFonts w:hint="eastAsia" w:ascii="Times New Roman" w:hAnsi="Times New Roman" w:cs="Times New Roman"/>
                      <w:color w:val="auto"/>
                      <w:spacing w:val="8"/>
                      <w:sz w:val="21"/>
                      <w:szCs w:val="21"/>
                      <w:lang w:eastAsia="zh-CN"/>
                    </w:rPr>
                    <w:t>，</w:t>
                  </w:r>
                  <w:r>
                    <w:rPr>
                      <w:rFonts w:hint="default" w:ascii="Times New Roman" w:hAnsi="Times New Roman" w:eastAsia="宋体" w:cs="Times New Roman"/>
                      <w:color w:val="auto"/>
                      <w:spacing w:val="8"/>
                      <w:sz w:val="21"/>
                      <w:szCs w:val="21"/>
                    </w:rPr>
                    <w:t>严重时立即送医院治疗。</w:t>
                  </w:r>
                </w:p>
                <w:p>
                  <w:pPr>
                    <w:pStyle w:val="105"/>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pacing w:val="8"/>
                      <w:position w:val="1"/>
                      <w:sz w:val="21"/>
                      <w:szCs w:val="21"/>
                    </w:rPr>
                    <w:t>眼睛接触</w:t>
                  </w:r>
                  <w:r>
                    <w:rPr>
                      <w:rFonts w:hint="default" w:ascii="Times New Roman" w:hAnsi="Times New Roman" w:eastAsia="宋体" w:cs="Times New Roman"/>
                      <w:color w:val="auto"/>
                      <w:spacing w:val="8"/>
                      <w:position w:val="1"/>
                      <w:sz w:val="21"/>
                      <w:szCs w:val="21"/>
                    </w:rPr>
                    <w:t>：高温作业时，应</w:t>
                  </w:r>
                  <w:r>
                    <w:rPr>
                      <w:rFonts w:hint="eastAsia" w:ascii="Times New Roman" w:hAnsi="Times New Roman" w:cs="Times New Roman"/>
                      <w:color w:val="auto"/>
                      <w:spacing w:val="8"/>
                      <w:position w:val="1"/>
                      <w:sz w:val="21"/>
                      <w:szCs w:val="21"/>
                      <w:lang w:eastAsia="zh-CN"/>
                    </w:rPr>
                    <w:t>佩戴</w:t>
                  </w:r>
                  <w:r>
                    <w:rPr>
                      <w:rFonts w:hint="default" w:ascii="Times New Roman" w:hAnsi="Times New Roman" w:eastAsia="宋体" w:cs="Times New Roman"/>
                      <w:color w:val="auto"/>
                      <w:spacing w:val="8"/>
                      <w:position w:val="1"/>
                      <w:sz w:val="21"/>
                      <w:szCs w:val="21"/>
                    </w:rPr>
                    <w:t>防护眼镜，不慎烫伤时立即送医院治疗。</w:t>
                  </w:r>
                </w:p>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7"/>
                      <w:position w:val="1"/>
                      <w:sz w:val="21"/>
                      <w:szCs w:val="21"/>
                    </w:rPr>
                    <w:t>不慎食入</w:t>
                  </w:r>
                  <w:r>
                    <w:rPr>
                      <w:rFonts w:hint="default" w:ascii="Times New Roman" w:hAnsi="Times New Roman" w:eastAsia="宋体" w:cs="Times New Roman"/>
                      <w:color w:val="auto"/>
                      <w:spacing w:val="7"/>
                      <w:position w:val="1"/>
                      <w:sz w:val="21"/>
                      <w:szCs w:val="21"/>
                    </w:rPr>
                    <w:t>：用水漱口，喝大量的水并送医治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5</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3"/>
                      <w:sz w:val="21"/>
                      <w:szCs w:val="21"/>
                    </w:rPr>
                    <w:t>消防措施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9"/>
                      <w:sz w:val="21"/>
                      <w:szCs w:val="21"/>
                    </w:rPr>
                    <w:t>合适的灭火方法和灭火剂</w:t>
                  </w:r>
                </w:p>
              </w:tc>
              <w:tc>
                <w:tcPr>
                  <w:tcW w:w="6306" w:type="dxa"/>
                  <w:gridSpan w:val="9"/>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9"/>
                      <w:sz w:val="21"/>
                      <w:szCs w:val="21"/>
                    </w:rPr>
                    <w:t>小火用化学干粉灭火剂；大火用泡沫灭火剂，用水喷雾。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保护消防人员特殊的防护装备</w:t>
                  </w:r>
                </w:p>
              </w:tc>
              <w:tc>
                <w:tcPr>
                  <w:tcW w:w="6306" w:type="dxa"/>
                  <w:gridSpan w:val="9"/>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8"/>
                      <w:sz w:val="21"/>
                      <w:szCs w:val="21"/>
                    </w:rPr>
                    <w:t>消防员要戴呼吸器，穿消防服。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第6部分：</w:t>
                  </w:r>
                  <w:r>
                    <w:rPr>
                      <w:rFonts w:hint="eastAsia" w:cs="Times New Roman"/>
                      <w:b/>
                      <w:bCs/>
                      <w:color w:val="auto"/>
                      <w:spacing w:val="-5"/>
                      <w:sz w:val="21"/>
                      <w:szCs w:val="21"/>
                      <w:lang w:eastAsia="zh-CN"/>
                    </w:rPr>
                    <w:t>泄漏</w:t>
                  </w:r>
                  <w:r>
                    <w:rPr>
                      <w:rFonts w:hint="default" w:ascii="Times New Roman" w:hAnsi="Times New Roman" w:eastAsia="宋体" w:cs="Times New Roman"/>
                      <w:b/>
                      <w:bCs/>
                      <w:color w:val="auto"/>
                      <w:spacing w:val="-3"/>
                      <w:sz w:val="21"/>
                      <w:szCs w:val="21"/>
                    </w:rPr>
                    <w:t>应急处理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作业人员防护措施、防护装备</w:t>
                  </w:r>
                </w:p>
              </w:tc>
              <w:tc>
                <w:tcPr>
                  <w:tcW w:w="6306" w:type="dxa"/>
                  <w:gridSpan w:val="9"/>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8"/>
                      <w:sz w:val="21"/>
                      <w:szCs w:val="21"/>
                    </w:rPr>
                    <w:t>戴防护镜和手套，穿消防服。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58"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8"/>
                      <w:sz w:val="21"/>
                      <w:szCs w:val="21"/>
                    </w:rPr>
                    <w:t>处置程序</w:t>
                  </w:r>
                </w:p>
              </w:tc>
              <w:tc>
                <w:tcPr>
                  <w:tcW w:w="6306" w:type="dxa"/>
                  <w:gridSpan w:val="9"/>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vertAlign w:val="baseline"/>
                    </w:rPr>
                  </w:pPr>
                  <w:r>
                    <w:rPr>
                      <w:rFonts w:hint="eastAsia" w:cs="Times New Roman"/>
                      <w:color w:val="auto"/>
                      <w:spacing w:val="8"/>
                      <w:sz w:val="21"/>
                      <w:szCs w:val="21"/>
                      <w:lang w:eastAsia="zh-CN"/>
                    </w:rPr>
                    <w:t>熔融</w:t>
                  </w:r>
                  <w:r>
                    <w:rPr>
                      <w:rFonts w:hint="default" w:ascii="Times New Roman" w:hAnsi="Times New Roman" w:eastAsia="宋体" w:cs="Times New Roman"/>
                      <w:color w:val="auto"/>
                      <w:spacing w:val="8"/>
                      <w:sz w:val="21"/>
                      <w:szCs w:val="21"/>
                    </w:rPr>
                    <w:t>中的金属</w:t>
                  </w:r>
                  <w:r>
                    <w:rPr>
                      <w:rFonts w:hint="eastAsia" w:cs="Times New Roman"/>
                      <w:color w:val="auto"/>
                      <w:spacing w:val="8"/>
                      <w:sz w:val="21"/>
                      <w:szCs w:val="21"/>
                      <w:lang w:eastAsia="zh-CN"/>
                    </w:rPr>
                    <w:t>在</w:t>
                  </w:r>
                  <w:r>
                    <w:rPr>
                      <w:rFonts w:hint="default" w:ascii="Times New Roman" w:hAnsi="Times New Roman" w:eastAsia="宋体" w:cs="Times New Roman"/>
                      <w:color w:val="auto"/>
                      <w:spacing w:val="8"/>
                      <w:sz w:val="21"/>
                      <w:szCs w:val="21"/>
                    </w:rPr>
                    <w:t>拿起前或是回收前，请待其冷却，且应使用</w:t>
                  </w:r>
                  <w:r>
                    <w:rPr>
                      <w:rFonts w:hint="default" w:ascii="Times New Roman" w:hAnsi="Times New Roman" w:eastAsia="宋体" w:cs="Times New Roman"/>
                      <w:color w:val="auto"/>
                      <w:spacing w:val="7"/>
                      <w:sz w:val="21"/>
                      <w:szCs w:val="21"/>
                    </w:rPr>
                    <w:t>适当的工具来将溢出的固体置入一个保</w:t>
                  </w:r>
                  <w:r>
                    <w:rPr>
                      <w:rFonts w:hint="default" w:ascii="Times New Roman" w:hAnsi="Times New Roman" w:eastAsia="宋体" w:cs="Times New Roman"/>
                      <w:color w:val="auto"/>
                      <w:spacing w:val="6"/>
                      <w:sz w:val="21"/>
                      <w:szCs w:val="21"/>
                    </w:rPr>
                    <w:t>存的容器。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第6部分：</w:t>
                  </w:r>
                  <w:r>
                    <w:rPr>
                      <w:rFonts w:hint="default" w:ascii="Times New Roman" w:hAnsi="Times New Roman" w:eastAsia="宋体" w:cs="Times New Roman"/>
                      <w:b/>
                      <w:bCs/>
                      <w:color w:val="auto"/>
                      <w:spacing w:val="-3"/>
                      <w:sz w:val="21"/>
                      <w:szCs w:val="21"/>
                    </w:rPr>
                    <w:t>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646"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物理状态/形状</w:t>
                  </w:r>
                  <w:r>
                    <w:rPr>
                      <w:rFonts w:hint="default" w:ascii="Times New Roman" w:hAnsi="Times New Roman" w:eastAsia="宋体" w:cs="Times New Roman"/>
                      <w:color w:val="auto"/>
                      <w:sz w:val="21"/>
                      <w:szCs w:val="21"/>
                    </w:rPr>
                    <w:t>：</w:t>
                  </w:r>
                </w:p>
              </w:tc>
              <w:tc>
                <w:tcPr>
                  <w:tcW w:w="1537" w:type="dxa"/>
                  <w:gridSpan w:val="3"/>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7"/>
                      <w:sz w:val="21"/>
                      <w:szCs w:val="21"/>
                    </w:rPr>
                    <w:t>线状合金丝</w:t>
                  </w:r>
                </w:p>
              </w:tc>
              <w:tc>
                <w:tcPr>
                  <w:tcW w:w="1215"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2"/>
                      <w:sz w:val="21"/>
                      <w:szCs w:val="21"/>
                    </w:rPr>
                    <w:t>颜色</w:t>
                  </w:r>
                  <w:r>
                    <w:rPr>
                      <w:rFonts w:hint="default" w:ascii="Times New Roman" w:hAnsi="Times New Roman" w:eastAsia="宋体" w:cs="Times New Roman"/>
                      <w:color w:val="auto"/>
                      <w:spacing w:val="2"/>
                      <w:sz w:val="21"/>
                      <w:szCs w:val="21"/>
                    </w:rPr>
                    <w:t>：</w:t>
                  </w:r>
                </w:p>
              </w:tc>
              <w:tc>
                <w:tcPr>
                  <w:tcW w:w="1042"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6"/>
                      <w:sz w:val="21"/>
                      <w:szCs w:val="21"/>
                    </w:rPr>
                    <w:t>银白色</w:t>
                  </w:r>
                </w:p>
              </w:tc>
              <w:tc>
                <w:tcPr>
                  <w:tcW w:w="136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2"/>
                      <w:sz w:val="21"/>
                      <w:szCs w:val="21"/>
                    </w:rPr>
                    <w:t>气味</w:t>
                  </w:r>
                  <w:r>
                    <w:rPr>
                      <w:rFonts w:hint="default" w:ascii="Times New Roman" w:hAnsi="Times New Roman" w:eastAsia="宋体" w:cs="Times New Roman"/>
                      <w:color w:val="auto"/>
                      <w:spacing w:val="2"/>
                      <w:sz w:val="21"/>
                      <w:szCs w:val="21"/>
                    </w:rPr>
                    <w:t>：</w:t>
                  </w:r>
                </w:p>
              </w:tc>
              <w:tc>
                <w:tcPr>
                  <w:tcW w:w="1364"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3"/>
                      <w:sz w:val="21"/>
                      <w:szCs w:val="21"/>
                    </w:rPr>
                    <w:t>无味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646"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pH</w:t>
                  </w:r>
                  <w:r>
                    <w:rPr>
                      <w:rFonts w:hint="default" w:ascii="Times New Roman" w:hAnsi="Times New Roman" w:eastAsia="宋体" w:cs="Times New Roman"/>
                      <w:b/>
                      <w:bCs/>
                      <w:color w:val="auto"/>
                      <w:spacing w:val="2"/>
                      <w:sz w:val="21"/>
                      <w:szCs w:val="21"/>
                    </w:rPr>
                    <w:t>值</w:t>
                  </w:r>
                  <w:r>
                    <w:rPr>
                      <w:rFonts w:hint="default" w:ascii="Times New Roman" w:hAnsi="Times New Roman" w:eastAsia="宋体" w:cs="Times New Roman"/>
                      <w:color w:val="auto"/>
                      <w:spacing w:val="2"/>
                      <w:sz w:val="21"/>
                      <w:szCs w:val="21"/>
                    </w:rPr>
                    <w:t>：</w:t>
                  </w:r>
                </w:p>
              </w:tc>
              <w:tc>
                <w:tcPr>
                  <w:tcW w:w="1537" w:type="dxa"/>
                  <w:gridSpan w:val="3"/>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不适用</w:t>
                  </w:r>
                </w:p>
              </w:tc>
              <w:tc>
                <w:tcPr>
                  <w:tcW w:w="1215"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2"/>
                      <w:sz w:val="21"/>
                      <w:szCs w:val="21"/>
                    </w:rPr>
                    <w:t>熔点</w:t>
                  </w:r>
                  <w:r>
                    <w:rPr>
                      <w:rFonts w:hint="eastAsia" w:ascii="Times New Roman" w:hAnsi="Times New Roman" w:eastAsia="宋体" w:cs="Times New Roman"/>
                      <w:b/>
                      <w:bCs/>
                      <w:color w:val="auto"/>
                      <w:spacing w:val="-2"/>
                      <w:sz w:val="21"/>
                      <w:szCs w:val="21"/>
                      <w:lang w:eastAsia="zh-CN"/>
                    </w:rPr>
                    <w:t>（</w:t>
                  </w:r>
                  <w:r>
                    <w:rPr>
                      <w:rFonts w:hint="default" w:ascii="Times New Roman" w:hAnsi="Times New Roman" w:eastAsia="宋体" w:cs="Times New Roman"/>
                      <w:b/>
                      <w:bCs/>
                      <w:color w:val="auto"/>
                      <w:spacing w:val="-2"/>
                      <w:sz w:val="21"/>
                      <w:szCs w:val="21"/>
                    </w:rPr>
                    <w:t>℃</w:t>
                  </w:r>
                  <w:r>
                    <w:rPr>
                      <w:rFonts w:hint="eastAsia" w:ascii="Times New Roman" w:hAnsi="Times New Roman" w:eastAsia="宋体" w:cs="Times New Roman"/>
                      <w:b/>
                      <w:bCs/>
                      <w:color w:val="auto"/>
                      <w:spacing w:val="-2"/>
                      <w:sz w:val="21"/>
                      <w:szCs w:val="21"/>
                      <w:lang w:eastAsia="zh-CN"/>
                    </w:rPr>
                    <w:t>）</w:t>
                  </w:r>
                  <w:r>
                    <w:rPr>
                      <w:rFonts w:hint="eastAsia" w:ascii="Times New Roman" w:hAnsi="Times New Roman" w:cs="Times New Roman"/>
                      <w:b/>
                      <w:bCs/>
                      <w:color w:val="auto"/>
                      <w:spacing w:val="-2"/>
                      <w:sz w:val="21"/>
                      <w:szCs w:val="21"/>
                      <w:lang w:eastAsia="zh-CN"/>
                    </w:rPr>
                    <w:t>：</w:t>
                  </w:r>
                </w:p>
              </w:tc>
              <w:tc>
                <w:tcPr>
                  <w:tcW w:w="1042"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3"/>
                      <w:sz w:val="21"/>
                      <w:szCs w:val="21"/>
                    </w:rPr>
                    <w:t>227</w:t>
                  </w:r>
                </w:p>
              </w:tc>
              <w:tc>
                <w:tcPr>
                  <w:tcW w:w="136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爆炸极限</w:t>
                  </w:r>
                  <w:r>
                    <w:rPr>
                      <w:rFonts w:hint="default" w:ascii="Times New Roman" w:hAnsi="Times New Roman" w:eastAsia="宋体" w:cs="Times New Roman"/>
                      <w:color w:val="auto"/>
                      <w:spacing w:val="5"/>
                      <w:sz w:val="21"/>
                      <w:szCs w:val="21"/>
                    </w:rPr>
                    <w:t>：</w:t>
                  </w:r>
                </w:p>
              </w:tc>
              <w:tc>
                <w:tcPr>
                  <w:tcW w:w="1364"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不适用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646"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4"/>
                      <w:sz w:val="21"/>
                      <w:szCs w:val="21"/>
                    </w:rPr>
                    <w:t>闪点</w:t>
                  </w:r>
                  <w:r>
                    <w:rPr>
                      <w:rFonts w:hint="default" w:ascii="Times New Roman" w:hAnsi="Times New Roman" w:eastAsia="宋体" w:cs="Times New Roman"/>
                      <w:color w:val="auto"/>
                      <w:spacing w:val="-4"/>
                      <w:sz w:val="21"/>
                      <w:szCs w:val="21"/>
                    </w:rPr>
                    <w:t>：</w:t>
                  </w:r>
                </w:p>
              </w:tc>
              <w:tc>
                <w:tcPr>
                  <w:tcW w:w="1537" w:type="dxa"/>
                  <w:gridSpan w:val="3"/>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不适用</w:t>
                  </w:r>
                </w:p>
              </w:tc>
              <w:tc>
                <w:tcPr>
                  <w:tcW w:w="1215"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4"/>
                      <w:sz w:val="21"/>
                      <w:szCs w:val="21"/>
                    </w:rPr>
                    <w:t>氧化性</w:t>
                  </w:r>
                  <w:r>
                    <w:rPr>
                      <w:rFonts w:hint="default" w:ascii="Times New Roman" w:hAnsi="Times New Roman" w:eastAsia="宋体" w:cs="Times New Roman"/>
                      <w:color w:val="auto"/>
                      <w:spacing w:val="4"/>
                      <w:sz w:val="21"/>
                      <w:szCs w:val="21"/>
                    </w:rPr>
                    <w:t>：</w:t>
                  </w:r>
                </w:p>
              </w:tc>
              <w:tc>
                <w:tcPr>
                  <w:tcW w:w="1042"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不适用</w:t>
                  </w:r>
                </w:p>
              </w:tc>
              <w:tc>
                <w:tcPr>
                  <w:tcW w:w="1360" w:type="dxa"/>
                  <w:gridSpan w:val="2"/>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3"/>
                      <w:sz w:val="21"/>
                      <w:szCs w:val="21"/>
                    </w:rPr>
                    <w:t>溶解性</w:t>
                  </w:r>
                  <w:r>
                    <w:rPr>
                      <w:rFonts w:hint="default" w:ascii="Times New Roman" w:hAnsi="Times New Roman" w:eastAsia="宋体" w:cs="Times New Roman"/>
                      <w:color w:val="auto"/>
                      <w:spacing w:val="3"/>
                      <w:sz w:val="21"/>
                      <w:szCs w:val="21"/>
                    </w:rPr>
                    <w:t>：</w:t>
                  </w:r>
                </w:p>
              </w:tc>
              <w:tc>
                <w:tcPr>
                  <w:tcW w:w="1364" w:type="dxa"/>
                  <w:tcBorders>
                    <w:tl2br w:val="nil"/>
                    <w:tr2bl w:val="nil"/>
                  </w:tcBorders>
                  <w:vAlign w:val="center"/>
                </w:tcPr>
                <w:p>
                  <w:pPr>
                    <w:pStyle w:val="105"/>
                    <w:keepNext w:val="0"/>
                    <w:keepLines w:val="0"/>
                    <w:pageBreakBefore w:val="0"/>
                    <w:kinsoku/>
                    <w:wordWrap/>
                    <w:overflowPunct/>
                    <w:topLinePunct w:val="0"/>
                    <w:autoSpaceDE/>
                    <w:autoSpaceDN/>
                    <w:bidi w:val="0"/>
                    <w:adjustRightInd/>
                    <w:snapToGrid/>
                    <w:spacing w:line="240" w:lineRule="auto"/>
                    <w:ind w:left="0" w:leftChars="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6"/>
                      <w:sz w:val="21"/>
                      <w:szCs w:val="21"/>
                    </w:rPr>
                    <w:t>不溶于水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64" w:type="dxa"/>
                  <w:gridSpan w:val="12"/>
                  <w:tcBorders>
                    <w:tl2br w:val="nil"/>
                    <w:tr2bl w:val="nil"/>
                  </w:tcBorders>
                </w:tcPr>
                <w:p>
                  <w:pPr>
                    <w:pStyle w:val="8"/>
                    <w:keepNext w:val="0"/>
                    <w:keepLines w:val="0"/>
                    <w:pageBreakBefore w:val="0"/>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第</w:t>
                  </w:r>
                  <w:r>
                    <w:rPr>
                      <w:rFonts w:hint="eastAsia" w:cs="Times New Roman"/>
                      <w:b/>
                      <w:bCs/>
                      <w:color w:val="auto"/>
                      <w:spacing w:val="-5"/>
                      <w:sz w:val="21"/>
                      <w:szCs w:val="21"/>
                      <w:lang w:val="en-US" w:eastAsia="zh-CN"/>
                    </w:rPr>
                    <w:t>7</w:t>
                  </w:r>
                  <w:r>
                    <w:rPr>
                      <w:rFonts w:hint="default" w:ascii="Times New Roman" w:hAnsi="Times New Roman" w:eastAsia="宋体" w:cs="Times New Roman"/>
                      <w:b/>
                      <w:bCs/>
                      <w:color w:val="auto"/>
                      <w:spacing w:val="-5"/>
                      <w:sz w:val="21"/>
                      <w:szCs w:val="21"/>
                    </w:rPr>
                    <w:t>部分：</w:t>
                  </w:r>
                  <w:r>
                    <w:rPr>
                      <w:rFonts w:hint="default" w:ascii="Times New Roman" w:hAnsi="Times New Roman" w:eastAsia="宋体" w:cs="Times New Roman"/>
                      <w:b/>
                      <w:bCs/>
                      <w:color w:val="auto"/>
                      <w:spacing w:val="-3"/>
                      <w:sz w:val="21"/>
                      <w:szCs w:val="21"/>
                    </w:rPr>
                    <w:t>毒理学信息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21"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7"/>
                      <w:sz w:val="21"/>
                      <w:szCs w:val="21"/>
                    </w:rPr>
                    <w:t>对动物的毒物试验</w:t>
                  </w:r>
                </w:p>
              </w:tc>
              <w:tc>
                <w:tcPr>
                  <w:tcW w:w="6043" w:type="dxa"/>
                  <w:gridSpan w:val="8"/>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z w:val="21"/>
                      <w:szCs w:val="21"/>
                    </w:rPr>
                    <w:t>LD</w:t>
                  </w:r>
                  <w:r>
                    <w:rPr>
                      <w:rFonts w:hint="default" w:ascii="Times New Roman" w:hAnsi="Times New Roman" w:eastAsia="宋体" w:cs="Times New Roman"/>
                      <w:color w:val="auto"/>
                      <w:spacing w:val="7"/>
                      <w:position w:val="-1"/>
                      <w:sz w:val="21"/>
                      <w:szCs w:val="21"/>
                    </w:rPr>
                    <w:t>50</w:t>
                  </w:r>
                  <w:r>
                    <w:rPr>
                      <w:rFonts w:hint="default" w:ascii="Times New Roman" w:hAnsi="Times New Roman" w:eastAsia="宋体" w:cs="Times New Roman"/>
                      <w:color w:val="auto"/>
                      <w:sz w:val="21"/>
                      <w:szCs w:val="21"/>
                    </w:rPr>
                    <w:t>LC</w:t>
                  </w:r>
                  <w:r>
                    <w:rPr>
                      <w:rFonts w:hint="default" w:ascii="Times New Roman" w:hAnsi="Times New Roman" w:eastAsia="宋体" w:cs="Times New Roman"/>
                      <w:color w:val="auto"/>
                      <w:spacing w:val="7"/>
                      <w:position w:val="-1"/>
                      <w:sz w:val="21"/>
                      <w:szCs w:val="21"/>
                    </w:rPr>
                    <w:t>50</w:t>
                  </w:r>
                  <w:r>
                    <w:rPr>
                      <w:rFonts w:hint="default" w:ascii="Times New Roman" w:hAnsi="Times New Roman" w:eastAsia="宋体" w:cs="Times New Roman"/>
                      <w:color w:val="auto"/>
                      <w:spacing w:val="7"/>
                      <w:sz w:val="21"/>
                      <w:szCs w:val="21"/>
                    </w:rPr>
                    <w:t>不适用。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21"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pacing w:val="5"/>
                      <w:sz w:val="21"/>
                      <w:szCs w:val="21"/>
                    </w:rPr>
                    <w:t>对人类的危害性</w:t>
                  </w:r>
                </w:p>
              </w:tc>
              <w:tc>
                <w:tcPr>
                  <w:tcW w:w="6043" w:type="dxa"/>
                  <w:gridSpan w:val="8"/>
                  <w:tcBorders>
                    <w:tl2br w:val="nil"/>
                    <w:tr2bl w:val="nil"/>
                  </w:tcBorders>
                </w:tcPr>
                <w:p>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color w:val="auto"/>
                      <w:spacing w:val="5"/>
                      <w:sz w:val="21"/>
                      <w:szCs w:val="21"/>
                    </w:rPr>
                    <w:t>如吸入该产品的烟尘和食入该产品，可能会造成危害，长期接触</w:t>
                  </w:r>
                  <w:r>
                    <w:rPr>
                      <w:rFonts w:hint="eastAsia" w:cs="Times New Roman"/>
                      <w:color w:val="auto"/>
                      <w:spacing w:val="5"/>
                      <w:sz w:val="21"/>
                      <w:szCs w:val="21"/>
                      <w:lang w:eastAsia="zh-CN"/>
                    </w:rPr>
                    <w:t>可能</w:t>
                  </w:r>
                  <w:r>
                    <w:rPr>
                      <w:rFonts w:hint="default" w:ascii="Times New Roman" w:hAnsi="Times New Roman" w:eastAsia="宋体" w:cs="Times New Roman"/>
                      <w:color w:val="auto"/>
                      <w:spacing w:val="5"/>
                      <w:sz w:val="21"/>
                      <w:szCs w:val="21"/>
                    </w:rPr>
                    <w:t>导致过敏或是皮肤炎。</w:t>
                  </w:r>
                </w:p>
              </w:tc>
            </w:tr>
          </w:tbl>
          <w:p>
            <w:pPr>
              <w:spacing w:line="360" w:lineRule="auto"/>
              <w:ind w:firstLine="482" w:firstLineChars="200"/>
              <w:rPr>
                <w:b/>
                <w:bCs/>
                <w:color w:val="auto"/>
                <w:sz w:val="24"/>
              </w:rPr>
            </w:pPr>
            <w:r>
              <w:rPr>
                <w:rFonts w:hint="eastAsia"/>
                <w:b/>
                <w:bCs/>
                <w:color w:val="auto"/>
                <w:sz w:val="24"/>
              </w:rPr>
              <w:t>6、产品规模</w:t>
            </w:r>
          </w:p>
          <w:p>
            <w:pPr>
              <w:spacing w:line="360" w:lineRule="auto"/>
              <w:ind w:firstLine="480" w:firstLineChars="200"/>
              <w:jc w:val="left"/>
              <w:rPr>
                <w:color w:val="auto"/>
                <w:sz w:val="24"/>
              </w:rPr>
            </w:pPr>
            <w:r>
              <w:rPr>
                <w:rFonts w:hint="eastAsia"/>
                <w:bCs/>
                <w:color w:val="auto"/>
                <w:sz w:val="24"/>
              </w:rPr>
              <w:t>具体产品及规模见表2</w:t>
            </w:r>
            <w:r>
              <w:rPr>
                <w:bCs/>
                <w:color w:val="auto"/>
                <w:sz w:val="24"/>
              </w:rPr>
              <w:t>-</w:t>
            </w:r>
            <w:r>
              <w:rPr>
                <w:rFonts w:hint="eastAsia"/>
                <w:bCs/>
                <w:color w:val="auto"/>
                <w:sz w:val="24"/>
                <w:lang w:val="en-US" w:eastAsia="zh-CN"/>
              </w:rPr>
              <w:t>6</w:t>
            </w:r>
            <w:r>
              <w:rPr>
                <w:rFonts w:hint="eastAsia"/>
                <w:bCs/>
                <w:color w:val="auto"/>
                <w:sz w:val="24"/>
              </w:rPr>
              <w:t>。</w:t>
            </w:r>
          </w:p>
          <w:p>
            <w:pPr>
              <w:ind w:firstLine="422" w:firstLineChars="200"/>
              <w:jc w:val="center"/>
              <w:rPr>
                <w:b/>
                <w:color w:val="auto"/>
                <w:szCs w:val="21"/>
              </w:rPr>
            </w:pPr>
            <w:r>
              <w:rPr>
                <w:b/>
                <w:color w:val="auto"/>
                <w:szCs w:val="21"/>
              </w:rPr>
              <w:t>表2-</w:t>
            </w:r>
            <w:r>
              <w:rPr>
                <w:rFonts w:hint="eastAsia"/>
                <w:b/>
                <w:color w:val="auto"/>
                <w:szCs w:val="21"/>
                <w:lang w:val="en-US" w:eastAsia="zh-CN"/>
              </w:rPr>
              <w:t>6</w:t>
            </w:r>
            <w:r>
              <w:rPr>
                <w:b/>
                <w:color w:val="auto"/>
                <w:szCs w:val="21"/>
              </w:rPr>
              <w:t xml:space="preserve">  产品</w:t>
            </w:r>
            <w:r>
              <w:rPr>
                <w:rFonts w:hint="eastAsia"/>
                <w:b/>
                <w:color w:val="auto"/>
                <w:szCs w:val="21"/>
              </w:rPr>
              <w:t>方案</w:t>
            </w:r>
            <w:r>
              <w:rPr>
                <w:b/>
                <w:color w:val="auto"/>
                <w:szCs w:val="21"/>
              </w:rPr>
              <w:t>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58"/>
              <w:gridCol w:w="2628"/>
              <w:gridCol w:w="412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产品名称</w:t>
                  </w:r>
                </w:p>
              </w:tc>
              <w:tc>
                <w:tcPr>
                  <w:tcW w:w="25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年产量（</w:t>
                  </w: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a</w:t>
                  </w: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太阳能光伏夹层玻璃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透明光电玻璃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光伏玻璃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电致变色玻璃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调光玻璃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超低能耗玻璃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8"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7</w:t>
                  </w:r>
                </w:p>
              </w:tc>
              <w:tc>
                <w:tcPr>
                  <w:tcW w:w="160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智慧环保卫生间玻璃</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89"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合计</w:t>
                  </w:r>
                </w:p>
              </w:tc>
              <w:tc>
                <w:tcPr>
                  <w:tcW w:w="2510"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20000</w:t>
                  </w:r>
                </w:p>
              </w:tc>
            </w:tr>
          </w:tbl>
          <w:p>
            <w:pPr>
              <w:spacing w:before="120" w:beforeLines="50" w:line="360" w:lineRule="auto"/>
              <w:ind w:firstLine="482" w:firstLineChars="200"/>
              <w:rPr>
                <w:rFonts w:hint="default" w:eastAsia="宋体"/>
                <w:b/>
                <w:bCs/>
                <w:color w:val="auto"/>
                <w:sz w:val="24"/>
                <w:lang w:val="en-US" w:eastAsia="zh-CN"/>
              </w:rPr>
            </w:pPr>
            <w:r>
              <w:rPr>
                <w:rFonts w:hint="eastAsia"/>
                <w:b/>
                <w:bCs/>
                <w:color w:val="auto"/>
                <w:sz w:val="24"/>
              </w:rPr>
              <w:t>7、</w:t>
            </w:r>
            <w:r>
              <w:rPr>
                <w:rFonts w:hint="eastAsia"/>
                <w:b/>
                <w:bCs/>
                <w:color w:val="auto"/>
                <w:sz w:val="24"/>
                <w:lang w:val="en-US" w:eastAsia="zh-CN"/>
              </w:rPr>
              <w:t>劳动定员和工作制度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本项目工作时间为年300天，每天工作8小时，定员</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0人，不提供食宿</w:t>
            </w:r>
            <w:r>
              <w:rPr>
                <w:rFonts w:hint="eastAsia" w:ascii="Times New Roman" w:hAnsi="Times New Roman" w:cs="Times New Roman"/>
                <w:color w:val="auto"/>
                <w:sz w:val="24"/>
                <w:szCs w:val="24"/>
                <w:lang w:eastAsia="zh-CN"/>
              </w:rPr>
              <w:t>。</w:t>
            </w:r>
          </w:p>
          <w:p>
            <w:pPr>
              <w:spacing w:before="120" w:beforeLines="50" w:line="360" w:lineRule="auto"/>
              <w:ind w:firstLine="482" w:firstLineChars="200"/>
              <w:rPr>
                <w:b/>
                <w:bCs/>
                <w:color w:val="auto"/>
                <w:sz w:val="24"/>
              </w:rPr>
            </w:pPr>
            <w:r>
              <w:rPr>
                <w:rFonts w:hint="eastAsia"/>
                <w:b/>
                <w:bCs/>
                <w:color w:val="auto"/>
                <w:sz w:val="24"/>
                <w:lang w:val="en-US" w:eastAsia="zh-CN"/>
              </w:rPr>
              <w:t>8、</w:t>
            </w:r>
            <w:r>
              <w:rPr>
                <w:rFonts w:hint="eastAsia"/>
                <w:b/>
                <w:bCs/>
                <w:color w:val="auto"/>
                <w:sz w:val="24"/>
              </w:rPr>
              <w:t>公用工程</w:t>
            </w:r>
          </w:p>
          <w:p>
            <w:pPr>
              <w:spacing w:line="360" w:lineRule="auto"/>
              <w:ind w:firstLine="482" w:firstLineChars="200"/>
              <w:rPr>
                <w:b/>
                <w:bCs/>
                <w:color w:val="auto"/>
                <w:sz w:val="24"/>
              </w:rPr>
            </w:pPr>
            <w:r>
              <w:rPr>
                <w:rFonts w:hint="eastAsia"/>
                <w:b/>
                <w:bCs/>
                <w:color w:val="auto"/>
                <w:sz w:val="24"/>
              </w:rPr>
              <w:t>（</w:t>
            </w:r>
            <w:r>
              <w:rPr>
                <w:b/>
                <w:bCs/>
                <w:color w:val="auto"/>
                <w:sz w:val="24"/>
              </w:rPr>
              <w:t>1</w:t>
            </w:r>
            <w:r>
              <w:rPr>
                <w:rFonts w:hint="eastAsia"/>
                <w:b/>
                <w:bCs/>
                <w:color w:val="auto"/>
                <w:sz w:val="24"/>
              </w:rPr>
              <w:t>）给排水</w:t>
            </w:r>
          </w:p>
          <w:p>
            <w:pPr>
              <w:spacing w:line="360" w:lineRule="auto"/>
              <w:ind w:firstLine="480" w:firstLineChars="200"/>
              <w:rPr>
                <w:color w:val="auto"/>
                <w:sz w:val="24"/>
              </w:rPr>
            </w:pPr>
            <w:r>
              <w:rPr>
                <w:rFonts w:hint="eastAsia"/>
                <w:color w:val="auto"/>
                <w:sz w:val="24"/>
              </w:rPr>
              <w:t>项目用水</w:t>
            </w:r>
            <w:r>
              <w:rPr>
                <w:rFonts w:hint="eastAsia"/>
                <w:color w:val="auto"/>
                <w:sz w:val="24"/>
                <w:lang w:val="en-US" w:eastAsia="zh-CN"/>
              </w:rPr>
              <w:t>由市政管网提供</w:t>
            </w:r>
            <w:r>
              <w:rPr>
                <w:rFonts w:hint="eastAsia"/>
                <w:color w:val="auto"/>
                <w:sz w:val="24"/>
              </w:rPr>
              <w:t>。本项目用水主要为职工生活用水</w:t>
            </w:r>
            <w:r>
              <w:rPr>
                <w:rFonts w:hint="eastAsia"/>
                <w:color w:val="auto"/>
                <w:sz w:val="24"/>
                <w:lang w:val="en-US" w:eastAsia="zh-CN"/>
              </w:rPr>
              <w:t>，</w:t>
            </w:r>
            <w:r>
              <w:rPr>
                <w:rFonts w:hint="eastAsia"/>
                <w:color w:val="auto"/>
                <w:sz w:val="24"/>
              </w:rPr>
              <w:t>用水量按照《行业用水定额》（</w:t>
            </w:r>
            <w:r>
              <w:rPr>
                <w:color w:val="auto"/>
                <w:sz w:val="24"/>
              </w:rPr>
              <w:t>DB61/T-2020</w:t>
            </w:r>
            <w:r>
              <w:rPr>
                <w:rFonts w:hint="eastAsia"/>
                <w:color w:val="auto"/>
                <w:sz w:val="24"/>
              </w:rPr>
              <w:t>）及建设</w:t>
            </w:r>
            <w:r>
              <w:rPr>
                <w:rFonts w:hint="eastAsia"/>
                <w:color w:val="auto"/>
                <w:sz w:val="24"/>
                <w:lang w:eastAsia="zh-CN"/>
              </w:rPr>
              <w:t>单位</w:t>
            </w:r>
            <w:r>
              <w:rPr>
                <w:rFonts w:hint="eastAsia"/>
                <w:color w:val="auto"/>
                <w:sz w:val="24"/>
              </w:rPr>
              <w:t>提供资料进行估算。</w:t>
            </w:r>
          </w:p>
          <w:p>
            <w:pPr>
              <w:spacing w:line="360" w:lineRule="auto"/>
              <w:ind w:firstLine="480" w:firstLineChars="200"/>
              <w:outlineLvl w:val="0"/>
              <w:rPr>
                <w:color w:val="auto"/>
                <w:sz w:val="24"/>
              </w:rPr>
            </w:pPr>
            <w:r>
              <w:rPr>
                <w:rFonts w:hint="eastAsia"/>
                <w:color w:val="auto"/>
                <w:sz w:val="24"/>
              </w:rPr>
              <w:t>本项目劳动定员</w:t>
            </w:r>
            <w:r>
              <w:rPr>
                <w:rFonts w:hint="eastAsia"/>
                <w:color w:val="auto"/>
                <w:sz w:val="24"/>
                <w:lang w:val="en-US" w:eastAsia="zh-CN"/>
              </w:rPr>
              <w:t>2</w:t>
            </w:r>
            <w:r>
              <w:rPr>
                <w:rFonts w:hint="eastAsia"/>
                <w:color w:val="auto"/>
                <w:sz w:val="24"/>
              </w:rPr>
              <w:t>0人，</w:t>
            </w:r>
            <w:r>
              <w:rPr>
                <w:rFonts w:hint="eastAsia"/>
                <w:color w:val="auto"/>
                <w:sz w:val="24"/>
                <w:lang w:val="en-US" w:eastAsia="zh-CN"/>
              </w:rPr>
              <w:t>厂内不提供食宿</w:t>
            </w:r>
            <w:r>
              <w:rPr>
                <w:color w:val="auto"/>
                <w:sz w:val="24"/>
              </w:rPr>
              <w:t>，</w:t>
            </w:r>
            <w:r>
              <w:rPr>
                <w:rFonts w:hint="eastAsia"/>
                <w:color w:val="auto"/>
                <w:sz w:val="24"/>
                <w:lang w:val="en-US" w:eastAsia="zh-CN"/>
              </w:rPr>
              <w:t>参照</w:t>
            </w:r>
            <w:r>
              <w:rPr>
                <w:color w:val="auto"/>
                <w:sz w:val="24"/>
              </w:rPr>
              <w:t>《行业用水定额》（陕西省地方标准 DB61/T943-2020）</w:t>
            </w:r>
            <w:r>
              <w:rPr>
                <w:rFonts w:hint="eastAsia"/>
                <w:color w:val="auto"/>
                <w:sz w:val="24"/>
                <w:lang w:val="en-US" w:eastAsia="zh-CN"/>
              </w:rPr>
              <w:t>中行政办公及科研院所中先进值：10m</w:t>
            </w:r>
            <w:r>
              <w:rPr>
                <w:rFonts w:hint="eastAsia"/>
                <w:color w:val="auto"/>
                <w:sz w:val="24"/>
                <w:vertAlign w:val="superscript"/>
                <w:lang w:val="en-US" w:eastAsia="zh-CN"/>
              </w:rPr>
              <w:t>3</w:t>
            </w:r>
            <w:r>
              <w:rPr>
                <w:rFonts w:hint="eastAsia"/>
                <w:color w:val="auto"/>
                <w:sz w:val="24"/>
                <w:lang w:val="en-US" w:eastAsia="zh-CN"/>
              </w:rPr>
              <w:t>/（人•a）</w:t>
            </w:r>
            <w:r>
              <w:rPr>
                <w:color w:val="auto"/>
                <w:sz w:val="24"/>
              </w:rPr>
              <w:t>，职工生活用水量为</w:t>
            </w:r>
            <w:r>
              <w:rPr>
                <w:rFonts w:hint="eastAsia"/>
                <w:color w:val="auto"/>
                <w:sz w:val="24"/>
                <w:lang w:val="en-US" w:eastAsia="zh-CN"/>
              </w:rPr>
              <w:t>20</w:t>
            </w:r>
            <w:r>
              <w:rPr>
                <w:rFonts w:hint="eastAsia"/>
                <w:color w:val="auto"/>
                <w:sz w:val="24"/>
              </w:rPr>
              <w:t>0</w:t>
            </w:r>
            <w:r>
              <w:rPr>
                <w:color w:val="auto"/>
                <w:sz w:val="24"/>
              </w:rPr>
              <w:t>m</w:t>
            </w:r>
            <w:r>
              <w:rPr>
                <w:color w:val="auto"/>
                <w:sz w:val="24"/>
                <w:vertAlign w:val="superscript"/>
              </w:rPr>
              <w:t>3</w:t>
            </w:r>
            <w:r>
              <w:rPr>
                <w:color w:val="auto"/>
                <w:sz w:val="24"/>
              </w:rPr>
              <w:t>/a，</w:t>
            </w:r>
            <w:r>
              <w:rPr>
                <w:rFonts w:hint="eastAsia"/>
                <w:color w:val="auto"/>
                <w:sz w:val="24"/>
                <w:lang w:val="en-US" w:eastAsia="zh-CN"/>
              </w:rPr>
              <w:t>0.67</w:t>
            </w:r>
            <w:r>
              <w:rPr>
                <w:color w:val="auto"/>
                <w:sz w:val="24"/>
              </w:rPr>
              <w:t>m</w:t>
            </w:r>
            <w:r>
              <w:rPr>
                <w:color w:val="auto"/>
                <w:sz w:val="24"/>
                <w:vertAlign w:val="superscript"/>
              </w:rPr>
              <w:t>3</w:t>
            </w:r>
            <w:r>
              <w:rPr>
                <w:color w:val="auto"/>
                <w:sz w:val="24"/>
              </w:rPr>
              <w:t>/d，污水产生系数按照80%计，则本项目员工生活污水产生量为</w:t>
            </w:r>
            <w:r>
              <w:rPr>
                <w:rFonts w:hint="eastAsia"/>
                <w:color w:val="auto"/>
                <w:sz w:val="24"/>
                <w:lang w:val="en-US" w:eastAsia="zh-CN"/>
              </w:rPr>
              <w:t>160</w:t>
            </w:r>
            <w:r>
              <w:rPr>
                <w:color w:val="auto"/>
                <w:sz w:val="24"/>
              </w:rPr>
              <w:t>m</w:t>
            </w:r>
            <w:r>
              <w:rPr>
                <w:color w:val="auto"/>
                <w:sz w:val="24"/>
                <w:vertAlign w:val="superscript"/>
              </w:rPr>
              <w:t>3</w:t>
            </w:r>
            <w:r>
              <w:rPr>
                <w:color w:val="auto"/>
                <w:sz w:val="24"/>
              </w:rPr>
              <w:t>/a，</w:t>
            </w:r>
            <w:r>
              <w:rPr>
                <w:rFonts w:hint="eastAsia"/>
                <w:color w:val="auto"/>
                <w:sz w:val="24"/>
                <w:lang w:val="en-US" w:eastAsia="zh-CN"/>
              </w:rPr>
              <w:t>0.53</w:t>
            </w:r>
            <w:r>
              <w:rPr>
                <w:color w:val="auto"/>
                <w:sz w:val="24"/>
              </w:rPr>
              <w:t>m</w:t>
            </w:r>
            <w:r>
              <w:rPr>
                <w:color w:val="auto"/>
                <w:sz w:val="24"/>
                <w:vertAlign w:val="superscript"/>
              </w:rPr>
              <w:t>3</w:t>
            </w:r>
            <w:r>
              <w:rPr>
                <w:color w:val="auto"/>
                <w:sz w:val="24"/>
              </w:rPr>
              <w:t>/d，</w:t>
            </w:r>
            <w:r>
              <w:rPr>
                <w:color w:val="auto"/>
                <w:sz w:val="24"/>
                <w:szCs w:val="24"/>
              </w:rPr>
              <w:t>生活污水</w:t>
            </w:r>
            <w:r>
              <w:rPr>
                <w:rFonts w:hint="eastAsia"/>
                <w:color w:val="auto"/>
                <w:sz w:val="24"/>
                <w:szCs w:val="24"/>
                <w:lang w:val="en-US" w:eastAsia="zh-CN"/>
              </w:rPr>
              <w:t>依托园区化粪池处理后</w:t>
            </w:r>
            <w:r>
              <w:rPr>
                <w:color w:val="auto"/>
                <w:sz w:val="24"/>
                <w:szCs w:val="24"/>
              </w:rPr>
              <w:t>经市政管网排至泾河新城第二污水处理厂进行处理</w:t>
            </w:r>
            <w:r>
              <w:rPr>
                <w:rFonts w:hint="eastAsia"/>
                <w:color w:val="auto"/>
                <w:sz w:val="24"/>
                <w:szCs w:val="24"/>
                <w:lang w:eastAsia="zh-CN"/>
              </w:rPr>
              <w:t>。</w:t>
            </w:r>
          </w:p>
          <w:p>
            <w:pPr>
              <w:spacing w:line="360" w:lineRule="auto"/>
              <w:ind w:firstLine="480" w:firstLineChars="200"/>
              <w:rPr>
                <w:color w:val="auto"/>
                <w:sz w:val="24"/>
              </w:rPr>
            </w:pPr>
            <w:r>
              <w:rPr>
                <w:rFonts w:hint="eastAsia"/>
                <w:color w:val="auto"/>
                <w:sz w:val="24"/>
              </w:rPr>
              <w:t>本项目</w:t>
            </w:r>
            <w:r>
              <w:rPr>
                <w:rFonts w:hint="eastAsia"/>
                <w:color w:val="auto"/>
                <w:sz w:val="24"/>
                <w:lang w:eastAsia="zh-CN"/>
              </w:rPr>
              <w:t>供排水</w:t>
            </w:r>
            <w:r>
              <w:rPr>
                <w:rFonts w:hint="eastAsia"/>
                <w:color w:val="auto"/>
                <w:sz w:val="24"/>
              </w:rPr>
              <w:t>情况见表2</w:t>
            </w:r>
            <w:r>
              <w:rPr>
                <w:color w:val="auto"/>
                <w:sz w:val="24"/>
              </w:rPr>
              <w:t>-</w:t>
            </w:r>
            <w:r>
              <w:rPr>
                <w:rFonts w:hint="eastAsia"/>
                <w:color w:val="auto"/>
                <w:sz w:val="24"/>
                <w:lang w:val="en-US" w:eastAsia="zh-CN"/>
              </w:rPr>
              <w:t>7</w:t>
            </w:r>
            <w:r>
              <w:rPr>
                <w:rFonts w:hint="eastAsia"/>
                <w:color w:val="auto"/>
                <w:sz w:val="24"/>
              </w:rPr>
              <w:t>，水平衡见图</w:t>
            </w:r>
            <w:r>
              <w:rPr>
                <w:color w:val="auto"/>
                <w:sz w:val="24"/>
              </w:rPr>
              <w:t>2</w:t>
            </w:r>
            <w:r>
              <w:rPr>
                <w:rFonts w:hint="eastAsia"/>
                <w:color w:val="auto"/>
                <w:sz w:val="24"/>
              </w:rPr>
              <w:t>-</w:t>
            </w:r>
            <w:r>
              <w:rPr>
                <w:rFonts w:hint="eastAsia"/>
                <w:color w:val="auto"/>
                <w:sz w:val="24"/>
                <w:lang w:val="en-US" w:eastAsia="zh-CN"/>
              </w:rPr>
              <w:t>1</w:t>
            </w:r>
            <w:r>
              <w:rPr>
                <w:rFonts w:hint="eastAsia"/>
                <w:color w:val="auto"/>
                <w:sz w:val="24"/>
              </w:rPr>
              <w:t>。</w:t>
            </w:r>
          </w:p>
          <w:p>
            <w:pPr>
              <w:tabs>
                <w:tab w:val="left" w:pos="1045"/>
                <w:tab w:val="left" w:pos="3786"/>
              </w:tabs>
              <w:spacing w:after="21"/>
              <w:ind w:left="363"/>
              <w:jc w:val="center"/>
              <w:rPr>
                <w:rFonts w:hint="eastAsia" w:eastAsia="宋体"/>
                <w:b/>
                <w:color w:val="auto"/>
                <w:lang w:eastAsia="zh-CN"/>
              </w:rPr>
            </w:pPr>
            <w:r>
              <w:rPr>
                <w:b/>
                <w:color w:val="auto"/>
              </w:rPr>
              <w:t>表2-</w:t>
            </w:r>
            <w:r>
              <w:rPr>
                <w:rFonts w:hint="eastAsia"/>
                <w:b/>
                <w:color w:val="auto"/>
                <w:lang w:val="en-US" w:eastAsia="zh-CN"/>
              </w:rPr>
              <w:t>7</w:t>
            </w:r>
            <w:r>
              <w:rPr>
                <w:b/>
                <w:color w:val="auto"/>
              </w:rPr>
              <w:t xml:space="preserve">  </w:t>
            </w:r>
            <w:r>
              <w:rPr>
                <w:rFonts w:hint="eastAsia"/>
                <w:b/>
                <w:color w:val="auto"/>
                <w:lang w:val="en-US" w:eastAsia="zh-CN"/>
              </w:rPr>
              <w:t xml:space="preserve">  </w:t>
            </w:r>
            <w:r>
              <w:rPr>
                <w:b/>
                <w:color w:val="auto"/>
              </w:rPr>
              <w:t>项目用排水统计一览表</w:t>
            </w:r>
            <w:r>
              <w:rPr>
                <w:rFonts w:hint="eastAsia"/>
                <w:b/>
                <w:color w:val="auto"/>
              </w:rPr>
              <w:t xml:space="preserve">   </w:t>
            </w:r>
            <w:r>
              <w:rPr>
                <w:b/>
                <w:color w:val="auto"/>
              </w:rPr>
              <w:t>单位：</w:t>
            </w:r>
            <w:r>
              <w:rPr>
                <w:rFonts w:eastAsia="Times New Roman"/>
                <w:b/>
                <w:color w:val="auto"/>
              </w:rPr>
              <w:t>m</w:t>
            </w:r>
            <w:r>
              <w:rPr>
                <w:rFonts w:eastAsia="Times New Roman"/>
                <w:b/>
                <w:color w:val="auto"/>
                <w:vertAlign w:val="superscript"/>
              </w:rPr>
              <w:t>3</w:t>
            </w:r>
            <w:r>
              <w:rPr>
                <w:rFonts w:eastAsia="Times New Roman"/>
                <w:b/>
                <w:color w:val="auto"/>
              </w:rPr>
              <w:t>/</w:t>
            </w:r>
            <w:r>
              <w:rPr>
                <w:rFonts w:hint="eastAsia" w:eastAsiaTheme="minorEastAsia"/>
                <w:b/>
                <w:color w:val="auto"/>
                <w:lang w:val="en-US" w:eastAsia="zh-CN"/>
              </w:rPr>
              <w:t>d</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34"/>
              <w:gridCol w:w="942"/>
              <w:gridCol w:w="890"/>
              <w:gridCol w:w="706"/>
              <w:gridCol w:w="665"/>
              <w:gridCol w:w="36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pPr>
                    <w:spacing w:line="280" w:lineRule="exact"/>
                    <w:jc w:val="center"/>
                    <w:rPr>
                      <w:b w:val="0"/>
                      <w:bCs/>
                      <w:color w:val="auto"/>
                      <w:sz w:val="21"/>
                      <w:szCs w:val="21"/>
                    </w:rPr>
                  </w:pPr>
                  <w:r>
                    <w:rPr>
                      <w:b w:val="0"/>
                      <w:bCs/>
                      <w:color w:val="auto"/>
                      <w:sz w:val="21"/>
                      <w:szCs w:val="21"/>
                    </w:rPr>
                    <w:t>序号</w:t>
                  </w:r>
                </w:p>
              </w:tc>
              <w:tc>
                <w:tcPr>
                  <w:tcW w:w="447" w:type="pct"/>
                  <w:vAlign w:val="center"/>
                </w:tcPr>
                <w:p>
                  <w:pPr>
                    <w:spacing w:line="280" w:lineRule="exact"/>
                    <w:jc w:val="center"/>
                    <w:rPr>
                      <w:b w:val="0"/>
                      <w:bCs/>
                      <w:color w:val="auto"/>
                      <w:sz w:val="21"/>
                      <w:szCs w:val="21"/>
                    </w:rPr>
                  </w:pPr>
                  <w:r>
                    <w:rPr>
                      <w:b w:val="0"/>
                      <w:bCs/>
                      <w:color w:val="auto"/>
                      <w:sz w:val="21"/>
                      <w:szCs w:val="21"/>
                    </w:rPr>
                    <w:t>用水分类</w:t>
                  </w:r>
                </w:p>
              </w:tc>
              <w:tc>
                <w:tcPr>
                  <w:tcW w:w="574" w:type="pct"/>
                  <w:vAlign w:val="center"/>
                </w:tcPr>
                <w:p>
                  <w:pPr>
                    <w:spacing w:line="280" w:lineRule="exact"/>
                    <w:jc w:val="center"/>
                    <w:rPr>
                      <w:b w:val="0"/>
                      <w:bCs/>
                      <w:color w:val="auto"/>
                      <w:sz w:val="21"/>
                      <w:szCs w:val="21"/>
                    </w:rPr>
                  </w:pPr>
                  <w:r>
                    <w:rPr>
                      <w:b w:val="0"/>
                      <w:bCs/>
                      <w:color w:val="auto"/>
                      <w:sz w:val="21"/>
                      <w:szCs w:val="21"/>
                    </w:rPr>
                    <w:t>用水标准</w:t>
                  </w:r>
                </w:p>
              </w:tc>
              <w:tc>
                <w:tcPr>
                  <w:tcW w:w="542" w:type="pct"/>
                  <w:vAlign w:val="center"/>
                </w:tcPr>
                <w:p>
                  <w:pPr>
                    <w:spacing w:line="280" w:lineRule="exact"/>
                    <w:jc w:val="center"/>
                    <w:rPr>
                      <w:b w:val="0"/>
                      <w:bCs/>
                      <w:color w:val="auto"/>
                      <w:sz w:val="21"/>
                      <w:szCs w:val="21"/>
                    </w:rPr>
                  </w:pPr>
                  <w:r>
                    <w:rPr>
                      <w:b w:val="0"/>
                      <w:bCs/>
                      <w:color w:val="auto"/>
                      <w:sz w:val="21"/>
                      <w:szCs w:val="21"/>
                    </w:rPr>
                    <w:t>新鲜</w:t>
                  </w:r>
                </w:p>
                <w:p>
                  <w:pPr>
                    <w:spacing w:line="280" w:lineRule="exact"/>
                    <w:jc w:val="center"/>
                    <w:rPr>
                      <w:b w:val="0"/>
                      <w:bCs/>
                      <w:color w:val="auto"/>
                      <w:sz w:val="21"/>
                      <w:szCs w:val="21"/>
                    </w:rPr>
                  </w:pPr>
                  <w:r>
                    <w:rPr>
                      <w:b w:val="0"/>
                      <w:bCs/>
                      <w:color w:val="auto"/>
                      <w:sz w:val="21"/>
                      <w:szCs w:val="21"/>
                    </w:rPr>
                    <w:t>用水量</w:t>
                  </w:r>
                </w:p>
              </w:tc>
              <w:tc>
                <w:tcPr>
                  <w:tcW w:w="430" w:type="pct"/>
                  <w:vAlign w:val="center"/>
                </w:tcPr>
                <w:p>
                  <w:pPr>
                    <w:spacing w:line="280" w:lineRule="exact"/>
                    <w:jc w:val="center"/>
                    <w:rPr>
                      <w:b w:val="0"/>
                      <w:bCs/>
                      <w:color w:val="auto"/>
                      <w:sz w:val="21"/>
                      <w:szCs w:val="21"/>
                    </w:rPr>
                  </w:pPr>
                  <w:r>
                    <w:rPr>
                      <w:b w:val="0"/>
                      <w:bCs/>
                      <w:color w:val="auto"/>
                      <w:sz w:val="21"/>
                      <w:szCs w:val="21"/>
                    </w:rPr>
                    <w:t>损耗量</w:t>
                  </w:r>
                </w:p>
              </w:tc>
              <w:tc>
                <w:tcPr>
                  <w:tcW w:w="405" w:type="pct"/>
                  <w:vAlign w:val="center"/>
                </w:tcPr>
                <w:p>
                  <w:pPr>
                    <w:spacing w:line="280" w:lineRule="exact"/>
                    <w:jc w:val="center"/>
                    <w:rPr>
                      <w:b w:val="0"/>
                      <w:bCs/>
                      <w:color w:val="auto"/>
                      <w:sz w:val="21"/>
                      <w:szCs w:val="21"/>
                    </w:rPr>
                  </w:pPr>
                  <w:r>
                    <w:rPr>
                      <w:b w:val="0"/>
                      <w:bCs/>
                      <w:color w:val="auto"/>
                      <w:sz w:val="21"/>
                      <w:szCs w:val="21"/>
                    </w:rPr>
                    <w:t>排水量</w:t>
                  </w:r>
                </w:p>
              </w:tc>
              <w:tc>
                <w:tcPr>
                  <w:tcW w:w="2232" w:type="pct"/>
                  <w:vAlign w:val="center"/>
                </w:tcPr>
                <w:p>
                  <w:pPr>
                    <w:spacing w:line="280" w:lineRule="exact"/>
                    <w:jc w:val="center"/>
                    <w:rPr>
                      <w:b w:val="0"/>
                      <w:bCs/>
                      <w:color w:val="auto"/>
                      <w:sz w:val="21"/>
                      <w:szCs w:val="21"/>
                    </w:rPr>
                  </w:pPr>
                  <w:r>
                    <w:rPr>
                      <w:rFonts w:hint="eastAsia"/>
                      <w:b w:val="0"/>
                      <w:bCs/>
                      <w:color w:val="auto"/>
                      <w:sz w:val="21"/>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68" w:type="pct"/>
                  <w:vAlign w:val="center"/>
                </w:tcPr>
                <w:p>
                  <w:pPr>
                    <w:spacing w:line="280" w:lineRule="exact"/>
                    <w:jc w:val="center"/>
                    <w:rPr>
                      <w:color w:val="auto"/>
                      <w:sz w:val="21"/>
                      <w:szCs w:val="21"/>
                    </w:rPr>
                  </w:pPr>
                  <w:r>
                    <w:rPr>
                      <w:color w:val="auto"/>
                      <w:sz w:val="21"/>
                      <w:szCs w:val="21"/>
                    </w:rPr>
                    <w:t>1</w:t>
                  </w:r>
                </w:p>
              </w:tc>
              <w:tc>
                <w:tcPr>
                  <w:tcW w:w="447" w:type="pct"/>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生活用水</w:t>
                  </w:r>
                </w:p>
              </w:tc>
              <w:tc>
                <w:tcPr>
                  <w:tcW w:w="574" w:type="pct"/>
                  <w:vAlign w:val="center"/>
                </w:tcPr>
                <w:p>
                  <w:pPr>
                    <w:spacing w:line="280" w:lineRule="exact"/>
                    <w:jc w:val="center"/>
                    <w:rPr>
                      <w:color w:val="auto"/>
                      <w:sz w:val="21"/>
                      <w:szCs w:val="21"/>
                    </w:rPr>
                  </w:pPr>
                  <w:r>
                    <w:rPr>
                      <w:rFonts w:hint="eastAsia"/>
                      <w:color w:val="auto"/>
                      <w:sz w:val="21"/>
                      <w:szCs w:val="21"/>
                      <w:lang w:val="en-US" w:eastAsia="zh-CN"/>
                    </w:rPr>
                    <w:t>10m</w:t>
                  </w:r>
                  <w:r>
                    <w:rPr>
                      <w:rFonts w:hint="eastAsia"/>
                      <w:color w:val="auto"/>
                      <w:sz w:val="21"/>
                      <w:szCs w:val="21"/>
                      <w:vertAlign w:val="superscript"/>
                      <w:lang w:val="en-US" w:eastAsia="zh-CN"/>
                    </w:rPr>
                    <w:t>3</w:t>
                  </w:r>
                  <w:r>
                    <w:rPr>
                      <w:rFonts w:hint="eastAsia"/>
                      <w:color w:val="auto"/>
                      <w:sz w:val="21"/>
                      <w:szCs w:val="21"/>
                      <w:lang w:val="en-US" w:eastAsia="zh-CN"/>
                    </w:rPr>
                    <w:t>/（人•a）</w:t>
                  </w:r>
                </w:p>
              </w:tc>
              <w:tc>
                <w:tcPr>
                  <w:tcW w:w="542"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0.67</w:t>
                  </w:r>
                </w:p>
              </w:tc>
              <w:tc>
                <w:tcPr>
                  <w:tcW w:w="430"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0.14</w:t>
                  </w:r>
                </w:p>
              </w:tc>
              <w:tc>
                <w:tcPr>
                  <w:tcW w:w="405"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0.53</w:t>
                  </w:r>
                </w:p>
              </w:tc>
              <w:tc>
                <w:tcPr>
                  <w:tcW w:w="2232" w:type="pct"/>
                  <w:vAlign w:val="center"/>
                </w:tcPr>
                <w:p>
                  <w:pPr>
                    <w:spacing w:line="280" w:lineRule="exact"/>
                    <w:jc w:val="center"/>
                    <w:rPr>
                      <w:rFonts w:hint="default" w:eastAsia="宋体"/>
                      <w:color w:val="auto"/>
                      <w:sz w:val="21"/>
                      <w:szCs w:val="21"/>
                      <w:lang w:val="en-US" w:eastAsia="zh-CN"/>
                    </w:rPr>
                  </w:pPr>
                  <w:r>
                    <w:rPr>
                      <w:color w:val="auto"/>
                      <w:sz w:val="21"/>
                      <w:szCs w:val="21"/>
                    </w:rPr>
                    <w:t>生活污水</w:t>
                  </w:r>
                  <w:r>
                    <w:rPr>
                      <w:rFonts w:hint="eastAsia"/>
                      <w:color w:val="auto"/>
                      <w:sz w:val="21"/>
                      <w:szCs w:val="21"/>
                      <w:lang w:val="en-US" w:eastAsia="zh-CN"/>
                    </w:rPr>
                    <w:t>依托园区化粪池处理后</w:t>
                  </w:r>
                  <w:r>
                    <w:rPr>
                      <w:color w:val="auto"/>
                      <w:sz w:val="21"/>
                      <w:szCs w:val="21"/>
                    </w:rPr>
                    <w:t>经市政管网排至泾河新城第二污水处理厂进行处理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9" w:type="pct"/>
                  <w:gridSpan w:val="3"/>
                  <w:vAlign w:val="center"/>
                </w:tcPr>
                <w:p>
                  <w:pPr>
                    <w:spacing w:line="280" w:lineRule="exact"/>
                    <w:jc w:val="center"/>
                    <w:rPr>
                      <w:color w:val="auto"/>
                      <w:sz w:val="21"/>
                      <w:szCs w:val="21"/>
                    </w:rPr>
                  </w:pPr>
                  <w:r>
                    <w:rPr>
                      <w:color w:val="auto"/>
                      <w:sz w:val="21"/>
                      <w:szCs w:val="21"/>
                    </w:rPr>
                    <w:t>合计</w:t>
                  </w:r>
                </w:p>
              </w:tc>
              <w:tc>
                <w:tcPr>
                  <w:tcW w:w="542"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0.67</w:t>
                  </w:r>
                </w:p>
              </w:tc>
              <w:tc>
                <w:tcPr>
                  <w:tcW w:w="430"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0.14</w:t>
                  </w:r>
                </w:p>
              </w:tc>
              <w:tc>
                <w:tcPr>
                  <w:tcW w:w="405" w:type="pct"/>
                  <w:vAlign w:val="center"/>
                </w:tcPr>
                <w:p>
                  <w:pPr>
                    <w:widowControl/>
                    <w:jc w:val="center"/>
                    <w:textAlignment w:val="center"/>
                    <w:rPr>
                      <w:rFonts w:hint="default" w:eastAsia="宋体"/>
                      <w:color w:val="auto"/>
                      <w:kern w:val="0"/>
                      <w:sz w:val="21"/>
                      <w:szCs w:val="21"/>
                      <w:lang w:val="en-US" w:eastAsia="zh-CN" w:bidi="ar"/>
                    </w:rPr>
                  </w:pPr>
                  <w:r>
                    <w:rPr>
                      <w:rFonts w:hint="eastAsia"/>
                      <w:color w:val="auto"/>
                      <w:kern w:val="0"/>
                      <w:sz w:val="21"/>
                      <w:szCs w:val="21"/>
                      <w:lang w:val="en-US" w:eastAsia="zh-CN" w:bidi="ar"/>
                    </w:rPr>
                    <w:t>0.53</w:t>
                  </w:r>
                </w:p>
              </w:tc>
              <w:tc>
                <w:tcPr>
                  <w:tcW w:w="2232" w:type="pct"/>
                  <w:vAlign w:val="center"/>
                </w:tcPr>
                <w:p>
                  <w:pPr>
                    <w:spacing w:line="280" w:lineRule="exact"/>
                    <w:jc w:val="center"/>
                    <w:rPr>
                      <w:rFonts w:hint="eastAsia" w:eastAsia="宋体"/>
                      <w:color w:val="auto"/>
                      <w:sz w:val="21"/>
                      <w:szCs w:val="21"/>
                      <w:lang w:val="en-US" w:eastAsia="zh-CN"/>
                    </w:rPr>
                  </w:pPr>
                  <w:r>
                    <w:rPr>
                      <w:rFonts w:hint="eastAsia"/>
                      <w:color w:val="auto"/>
                      <w:sz w:val="21"/>
                      <w:szCs w:val="21"/>
                      <w:lang w:val="en-US" w:eastAsia="zh-CN"/>
                    </w:rPr>
                    <w:t>/</w:t>
                  </w:r>
                </w:p>
              </w:tc>
            </w:tr>
          </w:tbl>
          <w:p>
            <w:pPr>
              <w:spacing w:before="120" w:beforeLines="50"/>
              <w:jc w:val="center"/>
              <w:rPr>
                <w:rFonts w:hint="eastAsia" w:eastAsia="宋体"/>
                <w:b/>
                <w:bCs/>
                <w:color w:val="auto"/>
                <w:szCs w:val="21"/>
                <w:lang w:eastAsia="zh-CN"/>
              </w:rPr>
            </w:pPr>
            <w:r>
              <w:rPr>
                <w:rFonts w:hint="eastAsia" w:eastAsia="宋体"/>
                <w:b/>
                <w:bCs/>
                <w:color w:val="auto"/>
                <w:szCs w:val="21"/>
                <w:lang w:eastAsia="zh-CN"/>
              </w:rPr>
              <w:object>
                <v:shape id="_x0000_i1025" o:spt="75" type="#_x0000_t75" style="height:52.15pt;width:403.4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spacing w:before="120" w:beforeLines="50"/>
              <w:jc w:val="center"/>
              <w:rPr>
                <w:color w:val="auto"/>
                <w:szCs w:val="21"/>
              </w:rPr>
            </w:pPr>
            <w:r>
              <w:rPr>
                <w:rFonts w:hint="eastAsia"/>
                <w:b/>
                <w:bCs/>
                <w:color w:val="auto"/>
                <w:szCs w:val="21"/>
              </w:rPr>
              <w:t>图</w:t>
            </w:r>
            <w:r>
              <w:rPr>
                <w:b/>
                <w:bCs/>
                <w:color w:val="auto"/>
                <w:szCs w:val="21"/>
              </w:rPr>
              <w:t>2</w:t>
            </w:r>
            <w:r>
              <w:rPr>
                <w:rFonts w:hint="eastAsia"/>
                <w:b/>
                <w:bCs/>
                <w:color w:val="auto"/>
                <w:szCs w:val="21"/>
              </w:rPr>
              <w:t>-1</w:t>
            </w:r>
            <w:r>
              <w:rPr>
                <w:b/>
                <w:bCs/>
                <w:color w:val="auto"/>
                <w:szCs w:val="21"/>
              </w:rPr>
              <w:t xml:space="preserve">  </w:t>
            </w:r>
            <w:r>
              <w:rPr>
                <w:rFonts w:hint="eastAsia"/>
                <w:b/>
                <w:bCs/>
                <w:color w:val="auto"/>
                <w:szCs w:val="21"/>
              </w:rPr>
              <w:t xml:space="preserve">项目水平衡图 </w:t>
            </w:r>
            <w:r>
              <w:rPr>
                <w:b/>
                <w:bCs/>
                <w:color w:val="auto"/>
                <w:szCs w:val="21"/>
              </w:rPr>
              <w:t xml:space="preserve">   </w:t>
            </w:r>
            <w:r>
              <w:rPr>
                <w:rFonts w:hint="eastAsia"/>
                <w:b/>
                <w:bCs/>
                <w:color w:val="auto"/>
                <w:szCs w:val="21"/>
              </w:rPr>
              <w:t>单位：</w:t>
            </w:r>
            <w:r>
              <w:rPr>
                <w:b/>
                <w:color w:val="auto"/>
                <w:szCs w:val="21"/>
              </w:rPr>
              <w:t>m</w:t>
            </w:r>
            <w:r>
              <w:rPr>
                <w:b/>
                <w:color w:val="auto"/>
                <w:szCs w:val="21"/>
                <w:vertAlign w:val="superscript"/>
              </w:rPr>
              <w:t>3</w:t>
            </w:r>
            <w:r>
              <w:rPr>
                <w:b/>
                <w:color w:val="auto"/>
                <w:szCs w:val="21"/>
              </w:rPr>
              <w:t>/</w:t>
            </w:r>
            <w:r>
              <w:rPr>
                <w:rFonts w:hint="eastAsia"/>
                <w:b/>
                <w:color w:val="auto"/>
                <w:szCs w:val="21"/>
                <w:lang w:val="en-US" w:eastAsia="zh-CN"/>
              </w:rPr>
              <w:t>d</w:t>
            </w:r>
            <w:r>
              <w:rPr>
                <w:b/>
                <w:color w:val="auto"/>
                <w:szCs w:val="21"/>
              </w:rPr>
              <w:t xml:space="preserve">  </w:t>
            </w:r>
          </w:p>
          <w:p>
            <w:pPr>
              <w:spacing w:before="120" w:beforeLines="50" w:line="360" w:lineRule="auto"/>
              <w:ind w:firstLine="482" w:firstLineChars="200"/>
              <w:rPr>
                <w:b/>
                <w:bCs/>
                <w:color w:val="auto"/>
                <w:sz w:val="24"/>
              </w:rPr>
            </w:pPr>
            <w:r>
              <w:rPr>
                <w:rFonts w:hint="eastAsia"/>
                <w:b/>
                <w:bCs/>
                <w:color w:val="auto"/>
                <w:sz w:val="24"/>
              </w:rPr>
              <w:t>（</w:t>
            </w:r>
            <w:r>
              <w:rPr>
                <w:b/>
                <w:bCs/>
                <w:color w:val="auto"/>
                <w:sz w:val="24"/>
              </w:rPr>
              <w:t>2</w:t>
            </w:r>
            <w:r>
              <w:rPr>
                <w:rFonts w:hint="eastAsia"/>
                <w:b/>
                <w:bCs/>
                <w:color w:val="auto"/>
                <w:sz w:val="24"/>
              </w:rPr>
              <w:t>）供电</w:t>
            </w:r>
          </w:p>
          <w:p>
            <w:pPr>
              <w:spacing w:line="360" w:lineRule="auto"/>
              <w:ind w:firstLine="480" w:firstLineChars="200"/>
              <w:rPr>
                <w:color w:val="auto"/>
                <w:sz w:val="24"/>
                <w:highlight w:val="none"/>
              </w:rPr>
            </w:pPr>
            <w:r>
              <w:rPr>
                <w:rFonts w:hint="eastAsia"/>
                <w:color w:val="auto"/>
                <w:sz w:val="24"/>
                <w:highlight w:val="none"/>
              </w:rPr>
              <w:t>本项目供电由</w:t>
            </w:r>
            <w:r>
              <w:rPr>
                <w:rFonts w:hint="eastAsia"/>
                <w:color w:val="auto"/>
                <w:sz w:val="24"/>
                <w:highlight w:val="none"/>
                <w:lang w:val="en-US" w:eastAsia="zh-CN"/>
              </w:rPr>
              <w:t>园区</w:t>
            </w:r>
            <w:r>
              <w:rPr>
                <w:rFonts w:hint="eastAsia"/>
                <w:color w:val="auto"/>
                <w:sz w:val="24"/>
                <w:highlight w:val="none"/>
              </w:rPr>
              <w:t>现有供电系统接入，年用电量约</w:t>
            </w:r>
            <w:r>
              <w:rPr>
                <w:rFonts w:hint="eastAsia"/>
                <w:color w:val="auto"/>
                <w:sz w:val="24"/>
                <w:highlight w:val="none"/>
                <w:lang w:val="en-US" w:eastAsia="zh-CN"/>
              </w:rPr>
              <w:t>20</w:t>
            </w:r>
            <w:r>
              <w:rPr>
                <w:rFonts w:hint="eastAsia"/>
                <w:color w:val="auto"/>
                <w:sz w:val="24"/>
                <w:highlight w:val="none"/>
              </w:rPr>
              <w:t>万kW▪h。</w:t>
            </w:r>
          </w:p>
          <w:p>
            <w:pPr>
              <w:spacing w:line="360" w:lineRule="auto"/>
              <w:ind w:firstLine="482" w:firstLineChars="200"/>
              <w:rPr>
                <w:b/>
                <w:bCs/>
                <w:color w:val="auto"/>
                <w:sz w:val="24"/>
              </w:rPr>
            </w:pPr>
            <w:r>
              <w:rPr>
                <w:rFonts w:hint="eastAsia"/>
                <w:b/>
                <w:bCs/>
                <w:color w:val="auto"/>
                <w:sz w:val="24"/>
              </w:rPr>
              <w:t xml:space="preserve">9、平面布置 </w:t>
            </w:r>
          </w:p>
          <w:p>
            <w:pPr>
              <w:spacing w:line="360" w:lineRule="auto"/>
              <w:ind w:firstLine="480" w:firstLineChars="200"/>
              <w:rPr>
                <w:rFonts w:hint="eastAsia"/>
                <w:color w:val="auto"/>
                <w:sz w:val="24"/>
                <w:vertAlign w:val="baseline"/>
                <w:lang w:val="en-US" w:eastAsia="zh-CN"/>
              </w:rPr>
            </w:pPr>
            <w:r>
              <w:rPr>
                <w:rFonts w:hint="eastAsia"/>
                <w:color w:val="auto"/>
                <w:sz w:val="24"/>
              </w:rPr>
              <w:t>本项目</w:t>
            </w:r>
            <w:r>
              <w:rPr>
                <w:rFonts w:hint="eastAsia"/>
                <w:color w:val="auto"/>
                <w:sz w:val="24"/>
                <w:lang w:val="en-US" w:eastAsia="zh-CN"/>
              </w:rPr>
              <w:t>建筑</w:t>
            </w:r>
            <w:r>
              <w:rPr>
                <w:rFonts w:hint="eastAsia"/>
                <w:color w:val="auto"/>
                <w:sz w:val="24"/>
              </w:rPr>
              <w:t>面积</w:t>
            </w:r>
            <w:r>
              <w:rPr>
                <w:rFonts w:hint="eastAsia"/>
                <w:color w:val="auto"/>
                <w:sz w:val="24"/>
                <w:lang w:val="en-US" w:eastAsia="zh-CN"/>
              </w:rPr>
              <w:t>2500</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其中一层1500</w:t>
            </w:r>
            <w:r>
              <w:rPr>
                <w:rFonts w:hint="eastAsia"/>
                <w:color w:val="auto"/>
                <w:sz w:val="24"/>
              </w:rPr>
              <w:t>m</w:t>
            </w:r>
            <w:r>
              <w:rPr>
                <w:rFonts w:hint="eastAsia"/>
                <w:color w:val="auto"/>
                <w:sz w:val="24"/>
                <w:vertAlign w:val="superscript"/>
              </w:rPr>
              <w:t>2</w:t>
            </w:r>
            <w:r>
              <w:rPr>
                <w:rFonts w:hint="eastAsia"/>
                <w:color w:val="auto"/>
                <w:sz w:val="24"/>
              </w:rPr>
              <w:t>，</w:t>
            </w:r>
            <w:r>
              <w:rPr>
                <w:rFonts w:hint="eastAsia"/>
                <w:color w:val="auto"/>
                <w:sz w:val="24"/>
                <w:lang w:val="en-US" w:eastAsia="zh-CN"/>
              </w:rPr>
              <w:t>四层1000</w:t>
            </w:r>
            <w:r>
              <w:rPr>
                <w:rFonts w:hint="eastAsia"/>
                <w:color w:val="auto"/>
                <w:sz w:val="24"/>
              </w:rPr>
              <w:t>m</w:t>
            </w:r>
            <w:r>
              <w:rPr>
                <w:rFonts w:hint="eastAsia"/>
                <w:color w:val="auto"/>
                <w:sz w:val="24"/>
                <w:vertAlign w:val="superscript"/>
              </w:rPr>
              <w:t>2</w:t>
            </w:r>
            <w:r>
              <w:rPr>
                <w:rFonts w:hint="eastAsia"/>
                <w:color w:val="auto"/>
                <w:sz w:val="24"/>
                <w:vertAlign w:val="baseline"/>
                <w:lang w:eastAsia="zh-CN"/>
              </w:rPr>
              <w:t>。</w:t>
            </w:r>
            <w:r>
              <w:rPr>
                <w:rFonts w:hint="eastAsia"/>
                <w:color w:val="auto"/>
                <w:sz w:val="24"/>
                <w:vertAlign w:val="baseline"/>
                <w:lang w:val="en-US" w:eastAsia="zh-CN"/>
              </w:rPr>
              <w:t>一层共分五个区域，包括装卸区、库房、生产区、危险废物及一般固废存放区、展览及展厅区等；其中厂房西南角为装卸区，装卸区北侧为库房，库房东侧为生产区，生产线自西向东布设；装卸区东侧为危险废物暂存库和一般工业固废存放区；展廊及展厅呈“L”型，自厂房西北角布设至厂房东侧。一层车间布置符合物流人流方向，方便物料进出。</w:t>
            </w:r>
          </w:p>
          <w:p>
            <w:pPr>
              <w:spacing w:line="360" w:lineRule="auto"/>
              <w:ind w:firstLine="480" w:firstLineChars="200"/>
              <w:rPr>
                <w:rFonts w:hint="default"/>
                <w:color w:val="auto"/>
                <w:sz w:val="24"/>
                <w:vertAlign w:val="baseline"/>
                <w:lang w:val="en-US" w:eastAsia="zh-CN"/>
              </w:rPr>
            </w:pPr>
            <w:r>
              <w:rPr>
                <w:rFonts w:hint="eastAsia"/>
                <w:color w:val="auto"/>
                <w:sz w:val="24"/>
                <w:vertAlign w:val="baseline"/>
                <w:lang w:val="en-US" w:eastAsia="zh-CN"/>
              </w:rPr>
              <w:t>四层共分两个区域，包括生产区和办公区，生产区在厂房内自西向东布设，办公区位于东北角，生产区四周设置环形通道，北侧为人流通道，南侧为物流通道，方便物料运输。</w:t>
            </w:r>
          </w:p>
          <w:p>
            <w:pPr>
              <w:spacing w:line="360" w:lineRule="auto"/>
              <w:ind w:firstLine="480" w:firstLineChars="200"/>
              <w:rPr>
                <w:rFonts w:hint="eastAsia"/>
                <w:color w:val="auto"/>
                <w:sz w:val="24"/>
                <w:highlight w:val="red"/>
                <w:lang w:eastAsia="zh-CN"/>
              </w:rPr>
            </w:pPr>
            <w:r>
              <w:rPr>
                <w:color w:val="auto"/>
                <w:sz w:val="24"/>
              </w:rPr>
              <w:t>综上所述，项目总平面布置合理。</w:t>
            </w:r>
            <w:r>
              <w:rPr>
                <w:rFonts w:hint="eastAsia"/>
                <w:color w:val="auto"/>
                <w:sz w:val="24"/>
                <w:highlight w:val="none"/>
              </w:rPr>
              <w:t>本项目平面布置见附图</w:t>
            </w:r>
            <w:r>
              <w:rPr>
                <w:rFonts w:hint="eastAsia"/>
                <w:color w:val="auto"/>
                <w:sz w:val="24"/>
                <w:highlight w:val="none"/>
                <w:lang w:val="en-US" w:eastAsia="zh-CN"/>
              </w:rPr>
              <w:t>4</w:t>
            </w:r>
            <w:r>
              <w:rPr>
                <w:rFonts w:hint="eastAsia"/>
                <w:color w:val="auto"/>
                <w:sz w:val="24"/>
                <w:highlight w:val="none"/>
                <w:lang w:eastAsia="zh-CN"/>
              </w:rPr>
              <w:t>。</w:t>
            </w: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80" w:firstLineChars="200"/>
              <w:rPr>
                <w:rFonts w:hint="eastAsia"/>
                <w:color w:val="auto"/>
                <w:sz w:val="24"/>
                <w:highlight w:val="red"/>
                <w:lang w:eastAsia="zh-CN"/>
              </w:rPr>
            </w:pPr>
          </w:p>
          <w:p>
            <w:pPr>
              <w:spacing w:line="360" w:lineRule="auto"/>
              <w:ind w:firstLine="420" w:firstLineChars="200"/>
              <w:rPr>
                <w:color w:val="auto"/>
                <w:sz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8148955</wp:posOffset>
                      </wp:positionV>
                      <wp:extent cx="228600" cy="190500"/>
                      <wp:effectExtent l="3175" t="0" r="12065" b="7620"/>
                      <wp:wrapNone/>
                      <wp:docPr id="50" name="直线 197"/>
                      <wp:cNvGraphicFramePr/>
                      <a:graphic xmlns:a="http://schemas.openxmlformats.org/drawingml/2006/main">
                        <a:graphicData uri="http://schemas.microsoft.com/office/word/2010/wordprocessingShape">
                          <wps:wsp>
                            <wps:cNvCnPr>
                              <a:cxnSpLocks noChangeShapeType="1"/>
                            </wps:cNvCnPr>
                            <wps:spPr bwMode="auto">
                              <a:xfrm flipV="1">
                                <a:off x="0" y="0"/>
                                <a:ext cx="228600" cy="190500"/>
                              </a:xfrm>
                              <a:prstGeom prst="line">
                                <a:avLst/>
                              </a:prstGeom>
                              <a:noFill/>
                              <a:ln w="9525">
                                <a:solidFill>
                                  <a:srgbClr val="000000"/>
                                </a:solidFill>
                                <a:prstDash val="dash"/>
                                <a:round/>
                                <a:tailEnd type="triangle" w="med" len="med"/>
                              </a:ln>
                            </wps:spPr>
                            <wps:bodyPr/>
                          </wps:wsp>
                        </a:graphicData>
                      </a:graphic>
                    </wp:anchor>
                  </w:drawing>
                </mc:Choice>
                <mc:Fallback>
                  <w:pict>
                    <v:line id="直线 197" o:spid="_x0000_s1026" o:spt="20" style="position:absolute;left:0pt;flip:y;margin-left:288.75pt;margin-top:641.65pt;height:15pt;width:18pt;z-index:251660288;mso-width-relative:page;mso-height-relative:page;" filled="f" stroked="t" coordsize="21600,21600" o:gfxdata="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rt19bYAAAADQEAAA8AAAAAAAAAAQAgAAAAIgAA&#10;AGRycy9kb3ducmV2LnhtbFBLAQIUABQAAAAIAIdO4kB71Q5yCAIAAPgDAAAOAAAAAAAAAAEAIAAA&#10;ACcBAABkcnMvZTJvRG9jLnhtbFBLBQYAAAAABgAGAFkBAAChBQAAAAA=&#10;">
                      <v:fill on="f" focussize="0,0"/>
                      <v:stroke color="#000000" joinstyle="round" dashstyle="dash" endarrow="block"/>
                      <v:imagedata o:title=""/>
                      <o:lock v:ext="edit" aspectratio="f"/>
                    </v:line>
                  </w:pict>
                </mc:Fallback>
              </mc:AlternateConten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2" w:hRule="atLeast"/>
          <w:jc w:val="center"/>
        </w:trPr>
        <w:tc>
          <w:tcPr>
            <w:tcW w:w="496" w:type="dxa"/>
            <w:vAlign w:val="center"/>
          </w:tcPr>
          <w:p>
            <w:pPr>
              <w:pStyle w:val="25"/>
              <w:adjustRightInd w:val="0"/>
              <w:snapToGrid w:val="0"/>
              <w:spacing w:before="0" w:beforeAutospacing="0" w:after="0" w:afterAutospacing="0"/>
              <w:jc w:val="center"/>
              <w:rPr>
                <w:rFonts w:cs="宋体"/>
                <w:b/>
                <w:color w:val="auto"/>
                <w:szCs w:val="24"/>
              </w:rPr>
            </w:pPr>
            <w:r>
              <w:rPr>
                <w:rFonts w:hint="eastAsia" w:cs="宋体"/>
                <w:b/>
                <w:color w:val="auto"/>
                <w:szCs w:val="24"/>
              </w:rPr>
              <w:t>工艺流程和产排污环节</w:t>
            </w:r>
          </w:p>
        </w:tc>
        <w:tc>
          <w:tcPr>
            <w:tcW w:w="8425" w:type="dxa"/>
          </w:tcPr>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sz w:val="24"/>
                <w:szCs w:val="32"/>
                <w:lang w:val="en-US" w:eastAsia="zh-CN"/>
              </w:rPr>
            </w:pPr>
            <w:bookmarkStart w:id="5" w:name="OLE_LINK16"/>
            <w:r>
              <w:rPr>
                <w:rFonts w:hint="eastAsia"/>
                <w:b/>
                <w:bCs/>
                <w:color w:val="auto"/>
                <w:sz w:val="24"/>
                <w:szCs w:val="32"/>
                <w:lang w:val="en-US" w:eastAsia="zh-CN"/>
              </w:rPr>
              <w:t>工艺流程介绍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b/>
                <w:bCs/>
                <w:color w:val="auto"/>
                <w:sz w:val="24"/>
                <w:szCs w:val="32"/>
                <w:lang w:val="en-US" w:eastAsia="zh-CN"/>
              </w:rPr>
            </w:pPr>
            <w:r>
              <w:rPr>
                <w:rFonts w:hint="eastAsia"/>
                <w:b/>
                <w:bCs/>
                <w:color w:val="auto"/>
                <w:sz w:val="24"/>
                <w:szCs w:val="32"/>
                <w:lang w:val="en-US" w:eastAsia="zh-CN"/>
              </w:rPr>
              <w:t>（1）LED基板生产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spacing w:line="360" w:lineRule="auto"/>
              <w:ind w:firstLine="480"/>
              <w:rPr>
                <w:rFonts w:hint="default" w:eastAsia="宋体"/>
                <w:bCs/>
                <w:color w:val="auto"/>
                <w:sz w:val="24"/>
                <w:szCs w:val="32"/>
                <w:lang w:val="en-US" w:eastAsia="zh-CN"/>
              </w:rPr>
            </w:pPr>
            <w:r>
              <w:rPr>
                <w:rFonts w:hint="eastAsia"/>
                <w:bCs/>
                <w:color w:val="auto"/>
                <w:sz w:val="24"/>
                <w:szCs w:val="32"/>
                <w:lang w:val="en-US" w:eastAsia="zh-CN"/>
              </w:rPr>
              <w:t>激光雕刻：利用数控技术为基础，激光为加工媒介，在钢化玻璃表层进行微雕刻，预留出线路。钢化玻璃表层在激光照射下瞬间熔化和气化，产生的烟尘可忽略不计。</w:t>
            </w:r>
          </w:p>
          <w:p>
            <w:pPr>
              <w:spacing w:line="360" w:lineRule="auto"/>
              <w:ind w:firstLine="480"/>
              <w:rPr>
                <w:rFonts w:hint="default" w:eastAsia="宋体"/>
                <w:bCs/>
                <w:color w:val="auto"/>
                <w:sz w:val="24"/>
                <w:szCs w:val="32"/>
                <w:lang w:val="en-US" w:eastAsia="zh-CN"/>
              </w:rPr>
            </w:pPr>
            <w:r>
              <w:rPr>
                <w:rFonts w:hint="eastAsia"/>
                <w:bCs/>
                <w:color w:val="auto"/>
                <w:sz w:val="24"/>
                <w:szCs w:val="32"/>
                <w:lang w:val="en-US" w:eastAsia="zh-CN"/>
              </w:rPr>
              <w:t>串焊机：人工将单晶硅片焊接在玻璃基材上，主要是焊丝焊接过程中产生的烟气，经移动式焊烟净化器收集处理后在车间内无组织排放。</w:t>
            </w:r>
          </w:p>
          <w:p>
            <w:pPr>
              <w:spacing w:line="360" w:lineRule="auto"/>
              <w:ind w:firstLine="480"/>
              <w:rPr>
                <w:bCs/>
                <w:color w:val="auto"/>
                <w:sz w:val="24"/>
                <w:szCs w:val="32"/>
              </w:rPr>
            </w:pPr>
            <w:r>
              <w:rPr>
                <w:rFonts w:hint="eastAsia"/>
                <w:bCs/>
                <w:color w:val="auto"/>
                <w:sz w:val="24"/>
                <w:szCs w:val="32"/>
              </w:rPr>
              <w:t>刷膏：用印刷机将焊锡膏刷在印制板上，本项目使用的是免清洗焊锡膏，不需加热，焊锡膏挥发性极低，可忽略不计，该外购的印制板无需用有机溶剂清洗。</w:t>
            </w:r>
          </w:p>
          <w:p>
            <w:pPr>
              <w:spacing w:line="360" w:lineRule="auto"/>
              <w:ind w:firstLine="480"/>
              <w:rPr>
                <w:bCs/>
                <w:color w:val="auto"/>
                <w:sz w:val="24"/>
                <w:szCs w:val="32"/>
              </w:rPr>
            </w:pPr>
            <w:r>
              <w:rPr>
                <w:rFonts w:hint="eastAsia"/>
                <w:bCs/>
                <w:color w:val="auto"/>
                <w:sz w:val="24"/>
                <w:szCs w:val="32"/>
              </w:rPr>
              <w:t>贴片：用贴片机自动将</w:t>
            </w:r>
            <w:r>
              <w:rPr>
                <w:rFonts w:hint="eastAsia"/>
                <w:bCs/>
                <w:color w:val="auto"/>
                <w:sz w:val="24"/>
                <w:szCs w:val="32"/>
                <w:lang w:val="en-US" w:eastAsia="zh-CN"/>
              </w:rPr>
              <w:t>灯珠带贴</w:t>
            </w:r>
            <w:r>
              <w:rPr>
                <w:rFonts w:hint="eastAsia"/>
                <w:bCs/>
                <w:color w:val="auto"/>
                <w:sz w:val="24"/>
                <w:szCs w:val="32"/>
              </w:rPr>
              <w:t>在</w:t>
            </w:r>
            <w:r>
              <w:rPr>
                <w:rFonts w:hint="eastAsia"/>
                <w:bCs/>
                <w:color w:val="auto"/>
                <w:sz w:val="24"/>
                <w:szCs w:val="32"/>
                <w:lang w:val="en-US" w:eastAsia="zh-CN"/>
              </w:rPr>
              <w:t>玻璃基材</w:t>
            </w:r>
            <w:r>
              <w:rPr>
                <w:rFonts w:hint="eastAsia"/>
                <w:bCs/>
                <w:color w:val="auto"/>
                <w:sz w:val="24"/>
                <w:szCs w:val="32"/>
              </w:rPr>
              <w:t>固定位置上。</w:t>
            </w:r>
          </w:p>
          <w:p>
            <w:pPr>
              <w:spacing w:line="360" w:lineRule="auto"/>
              <w:ind w:firstLine="480"/>
              <w:rPr>
                <w:rFonts w:hint="default" w:eastAsia="宋体"/>
                <w:bCs/>
                <w:color w:val="auto"/>
                <w:sz w:val="24"/>
                <w:szCs w:val="32"/>
                <w:lang w:val="en-US" w:eastAsia="zh-CN"/>
              </w:rPr>
            </w:pPr>
            <w:r>
              <w:rPr>
                <w:rFonts w:hint="eastAsia"/>
                <w:bCs/>
                <w:color w:val="auto"/>
                <w:sz w:val="24"/>
                <w:szCs w:val="32"/>
              </w:rPr>
              <w:t>回流焊：将贴完片的</w:t>
            </w:r>
            <w:r>
              <w:rPr>
                <w:rFonts w:hint="eastAsia"/>
                <w:bCs/>
                <w:color w:val="auto"/>
                <w:sz w:val="24"/>
                <w:szCs w:val="32"/>
                <w:lang w:val="en-US" w:eastAsia="zh-CN"/>
              </w:rPr>
              <w:t>玻璃基材</w:t>
            </w:r>
            <w:r>
              <w:rPr>
                <w:rFonts w:hint="eastAsia"/>
                <w:bCs/>
                <w:color w:val="auto"/>
                <w:sz w:val="24"/>
                <w:szCs w:val="32"/>
              </w:rPr>
              <w:t>放入回流炉内进行焊接，电加热到</w:t>
            </w:r>
            <w:r>
              <w:rPr>
                <w:rFonts w:hint="eastAsia"/>
                <w:bCs/>
                <w:color w:val="auto"/>
                <w:sz w:val="24"/>
                <w:szCs w:val="32"/>
                <w:lang w:val="en-US" w:eastAsia="zh-CN"/>
              </w:rPr>
              <w:t>135</w:t>
            </w:r>
            <w:r>
              <w:rPr>
                <w:rFonts w:hint="eastAsia"/>
                <w:bCs/>
                <w:color w:val="auto"/>
                <w:sz w:val="24"/>
                <w:szCs w:val="32"/>
              </w:rPr>
              <w:t>℃，焊膏熔化后使</w:t>
            </w:r>
            <w:r>
              <w:rPr>
                <w:rFonts w:hint="eastAsia"/>
                <w:bCs/>
                <w:color w:val="auto"/>
                <w:sz w:val="24"/>
                <w:szCs w:val="32"/>
                <w:lang w:val="en-US" w:eastAsia="zh-CN"/>
              </w:rPr>
              <w:t>灯珠带</w:t>
            </w:r>
            <w:r>
              <w:rPr>
                <w:rFonts w:hint="eastAsia"/>
                <w:bCs/>
                <w:color w:val="auto"/>
                <w:sz w:val="24"/>
                <w:szCs w:val="32"/>
              </w:rPr>
              <w:t>固定在</w:t>
            </w:r>
            <w:r>
              <w:rPr>
                <w:rFonts w:hint="eastAsia"/>
                <w:bCs/>
                <w:color w:val="auto"/>
                <w:sz w:val="24"/>
                <w:szCs w:val="32"/>
                <w:lang w:val="en-US" w:eastAsia="zh-CN"/>
              </w:rPr>
              <w:t>玻璃基材</w:t>
            </w:r>
            <w:r>
              <w:rPr>
                <w:rFonts w:hint="eastAsia"/>
                <w:bCs/>
                <w:color w:val="auto"/>
                <w:sz w:val="24"/>
                <w:szCs w:val="32"/>
              </w:rPr>
              <w:t>上。本项</w:t>
            </w:r>
            <w:r>
              <w:rPr>
                <w:rFonts w:hint="eastAsia"/>
                <w:bCs/>
                <w:color w:val="auto"/>
                <w:sz w:val="24"/>
                <w:szCs w:val="32"/>
                <w:lang w:eastAsia="zh-CN"/>
              </w:rPr>
              <w:t>目</w:t>
            </w:r>
            <w:r>
              <w:rPr>
                <w:rFonts w:hint="eastAsia"/>
                <w:bCs/>
                <w:color w:val="auto"/>
                <w:sz w:val="24"/>
                <w:szCs w:val="32"/>
              </w:rPr>
              <w:t>使用的是免清洗焊膏，焊膏中含有少量的松香，该工序有焊接烟尘</w:t>
            </w:r>
            <w:r>
              <w:rPr>
                <w:rFonts w:hint="eastAsia"/>
                <w:color w:val="auto"/>
                <w:sz w:val="24"/>
                <w:szCs w:val="24"/>
                <w:lang w:val="en-US" w:eastAsia="zh-CN"/>
              </w:rPr>
              <w:t>、锡及其化合物</w:t>
            </w:r>
            <w:r>
              <w:rPr>
                <w:rFonts w:hint="eastAsia"/>
                <w:bCs/>
                <w:color w:val="auto"/>
                <w:sz w:val="24"/>
                <w:szCs w:val="32"/>
              </w:rPr>
              <w:t>、</w:t>
            </w:r>
            <w:r>
              <w:rPr>
                <w:rFonts w:hint="eastAsia"/>
                <w:bCs/>
                <w:color w:val="auto"/>
                <w:sz w:val="24"/>
                <w:szCs w:val="32"/>
                <w:lang w:val="en-US" w:eastAsia="zh-CN"/>
              </w:rPr>
              <w:t>非甲烷总烃</w:t>
            </w:r>
            <w:r>
              <w:rPr>
                <w:rFonts w:hint="eastAsia"/>
                <w:bCs/>
                <w:color w:val="auto"/>
                <w:sz w:val="24"/>
                <w:szCs w:val="32"/>
              </w:rPr>
              <w:t>。</w:t>
            </w:r>
            <w:r>
              <w:rPr>
                <w:rFonts w:hint="eastAsia"/>
                <w:bCs/>
                <w:color w:val="auto"/>
                <w:sz w:val="24"/>
                <w:szCs w:val="32"/>
                <w:lang w:val="en-US" w:eastAsia="zh-CN"/>
              </w:rPr>
              <w:t>回流焊除进出口外均密封，废气负压收集后经过滤棉及二级活性炭处理后引至屋顶排放。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color w:val="auto"/>
                <w:sz w:val="24"/>
                <w:szCs w:val="32"/>
                <w:lang w:val="en-US" w:eastAsia="zh-CN"/>
              </w:rPr>
            </w:pPr>
            <w:r>
              <w:rPr>
                <w:rFonts w:hint="eastAsia"/>
                <w:color w:val="auto"/>
                <w:sz w:val="24"/>
                <w:szCs w:val="32"/>
                <w:lang w:val="en-US" w:eastAsia="zh-CN"/>
              </w:rPr>
              <w:object>
                <v:shape id="_x0000_i1026" o:spt="75" type="#_x0000_t75" style="height:245.7pt;width:243.2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bidi w:val="0"/>
              <w:jc w:val="center"/>
              <w:rPr>
                <w:rFonts w:hint="default"/>
                <w:b/>
                <w:bCs/>
                <w:color w:val="auto"/>
                <w:lang w:val="en-US" w:eastAsia="zh-CN"/>
              </w:rPr>
            </w:pPr>
            <w:r>
              <w:rPr>
                <w:rFonts w:hint="eastAsia"/>
                <w:b/>
                <w:bCs/>
                <w:color w:val="auto"/>
                <w:lang w:val="en-US" w:eastAsia="zh-CN"/>
              </w:rPr>
              <w:t>图2-2  LED基板生产工艺流程及产污环节图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b/>
                <w:bCs/>
                <w:color w:val="auto"/>
                <w:sz w:val="24"/>
                <w:szCs w:val="32"/>
                <w:lang w:val="en-US" w:eastAsia="zh-CN"/>
              </w:rPr>
            </w:pPr>
            <w:r>
              <w:rPr>
                <w:rFonts w:hint="eastAsia"/>
                <w:b/>
                <w:bCs/>
                <w:color w:val="auto"/>
                <w:sz w:val="24"/>
                <w:szCs w:val="32"/>
                <w:lang w:val="en-US" w:eastAsia="zh-CN"/>
              </w:rPr>
              <w:t>（2）透明光电玻璃生产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集成（夹层）</w:t>
            </w:r>
            <w:r>
              <w:rPr>
                <w:color w:val="auto"/>
                <w:sz w:val="24"/>
                <w:szCs w:val="32"/>
              </w:rPr>
              <w:t>：</w:t>
            </w:r>
            <w:r>
              <w:rPr>
                <w:rFonts w:hint="eastAsia"/>
                <w:color w:val="auto"/>
                <w:sz w:val="24"/>
                <w:szCs w:val="32"/>
                <w:lang w:val="en-US" w:eastAsia="zh-CN"/>
              </w:rPr>
              <w:t>将LED基板、建筑玻璃、PVB膜等原料按照建筑玻璃+PVB膜+LED基板+PVB膜+建筑玻璃的顺序进行叠放，然后非高压热压夹层机内进行集成，非高压热压夹层机在抽真空的同时进行加热，使PVB膜熔融后粘合，该工序会产生非甲烷总烃，抽真空产生的废气经过滤棉+二级活性炭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焊接电源、控制芯片：集成后的LED玻璃人工焊接电源以及控制芯片</w:t>
            </w:r>
            <w:r>
              <w:rPr>
                <w:rFonts w:hint="eastAsia"/>
                <w:bCs/>
                <w:color w:val="auto"/>
                <w:sz w:val="24"/>
                <w:szCs w:val="32"/>
                <w:lang w:val="en-US" w:eastAsia="zh-CN"/>
              </w:rPr>
              <w:t>，主要是焊丝焊接过程中产生的烟气，经移动式焊烟净化器收集处理后在车间内无组织排放。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color w:val="auto"/>
                <w:sz w:val="24"/>
                <w:szCs w:val="32"/>
              </w:rPr>
            </w:pPr>
            <w:r>
              <w:rPr>
                <w:rFonts w:hint="eastAsia"/>
                <w:color w:val="auto"/>
                <w:sz w:val="24"/>
                <w:szCs w:val="32"/>
                <w:lang w:val="en-US" w:eastAsia="zh-CN"/>
              </w:rPr>
              <w:t>出货</w:t>
            </w:r>
            <w:r>
              <w:rPr>
                <w:color w:val="auto"/>
                <w:sz w:val="24"/>
                <w:szCs w:val="32"/>
              </w:rPr>
              <w:t>：</w:t>
            </w:r>
            <w:r>
              <w:rPr>
                <w:rFonts w:hint="eastAsia"/>
                <w:color w:val="auto"/>
                <w:sz w:val="24"/>
                <w:szCs w:val="32"/>
                <w:lang w:val="en-US" w:eastAsia="zh-CN"/>
              </w:rPr>
              <w:t>检验检测</w:t>
            </w:r>
            <w:r>
              <w:rPr>
                <w:color w:val="auto"/>
                <w:sz w:val="24"/>
                <w:szCs w:val="32"/>
              </w:rPr>
              <w:t>合格品进行简单人工包装后放入成品库房中待售。</w:t>
            </w:r>
            <w:r>
              <w:rPr>
                <w:color w:val="auto"/>
                <w:sz w:val="24"/>
                <w:szCs w:val="32"/>
              </w:rPr>
              <w:object>
                <v:shape id="_x0000_i1027" o:spt="75" type="#_x0000_t75" style="height:235.6pt;width:263.25pt;" o:ole="t" filled="f" o:preferrelative="t" stroked="f" coordsize="21600,21600">
                  <v:path/>
                  <v:fill on="f" focussize="0,0"/>
                  <v:stroke on="f"/>
                  <v:imagedata r:id="rId13" o:title=""/>
                  <o:lock v:ext="edit" aspectratio="f"/>
                  <w10:wrap type="none"/>
                  <w10:anchorlock/>
                </v:shape>
                <o:OLEObject Type="Embed" ProgID="Visio.Drawing.11" ShapeID="_x0000_i1027" DrawAspect="Content" ObjectID="_1468075727" r:id="rId12">
                  <o:LockedField>false</o:LockedField>
                </o:OLEObject>
              </w:object>
            </w:r>
          </w:p>
          <w:p>
            <w:pPr>
              <w:bidi w:val="0"/>
              <w:jc w:val="center"/>
              <w:rPr>
                <w:b/>
                <w:bCs/>
                <w:color w:val="auto"/>
              </w:rPr>
            </w:pPr>
            <w:r>
              <w:rPr>
                <w:b/>
                <w:bCs/>
                <w:color w:val="auto"/>
              </w:rPr>
              <w:t xml:space="preserve">图2-3  </w:t>
            </w:r>
            <w:r>
              <w:rPr>
                <w:rFonts w:hint="eastAsia"/>
                <w:b/>
                <w:bCs/>
                <w:color w:val="auto"/>
                <w:lang w:val="en-US" w:eastAsia="zh-CN"/>
              </w:rPr>
              <w:t>透明光电玻璃</w:t>
            </w:r>
            <w:r>
              <w:rPr>
                <w:b/>
                <w:bCs/>
                <w:color w:val="auto"/>
              </w:rPr>
              <w:t>生产工艺流程及产污环节图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b/>
                <w:bCs/>
                <w:color w:val="auto"/>
                <w:sz w:val="24"/>
                <w:szCs w:val="32"/>
                <w:lang w:val="en-US" w:eastAsia="zh-CN"/>
              </w:rPr>
            </w:pPr>
            <w:r>
              <w:rPr>
                <w:color w:val="auto"/>
              </w:rPr>
              <mc:AlternateContent>
                <mc:Choice Requires="wps">
                  <w:drawing>
                    <wp:anchor distT="0" distB="0" distL="114300" distR="114300" simplePos="0" relativeHeight="251661312" behindDoc="0" locked="0" layoutInCell="1" allowOverlap="1">
                      <wp:simplePos x="0" y="0"/>
                      <wp:positionH relativeFrom="column">
                        <wp:posOffset>2477135</wp:posOffset>
                      </wp:positionH>
                      <wp:positionV relativeFrom="paragraph">
                        <wp:posOffset>3227070</wp:posOffset>
                      </wp:positionV>
                      <wp:extent cx="311785" cy="235585"/>
                      <wp:effectExtent l="0" t="0" r="0" b="0"/>
                      <wp:wrapNone/>
                      <wp:docPr id="53" name="文本框 53"/>
                      <wp:cNvGraphicFramePr/>
                      <a:graphic xmlns:a="http://schemas.openxmlformats.org/drawingml/2006/main">
                        <a:graphicData uri="http://schemas.microsoft.com/office/word/2010/wordprocessingShape">
                          <wps:wsp>
                            <wps:cNvSpPr txBox="1"/>
                            <wps:spPr>
                              <a:xfrm>
                                <a:off x="3884295" y="4415155"/>
                                <a:ext cx="311785" cy="235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18"/>
                                      <w:szCs w:val="21"/>
                                    </w:rPr>
                                  </w:pPr>
                                  <w:r>
                                    <w:rPr>
                                      <w:rFonts w:hint="eastAsia"/>
                                      <w:sz w:val="18"/>
                                      <w:szCs w:val="21"/>
                                    </w:rPr>
                                    <w:t>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05pt;margin-top:254.1pt;height:18.55pt;width:24.55pt;z-index:251661312;mso-width-relative:page;mso-height-relative:page;" filled="f" stroked="f" coordsize="21600,21600" o:gfxdata="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LSTuXbAAAACwEAAA8AAAAAAAAA&#10;AQAgAAAAIgAAAGRycy9kb3ducmV2LnhtbFBLAQIUABQAAAAIAIdO4kBY0tj7RwIAAHMEAAAOAAAA&#10;AAAAAAEAIAAAACoBAABkcnMvZTJvRG9jLnhtbFBLBQYAAAAABgAGAFkBAADjBQAAAAA=&#10;">
                      <v:fill on="f" focussize="0,0"/>
                      <v:stroke on="f" weight="0.5pt"/>
                      <v:imagedata o:title=""/>
                      <o:lock v:ext="edit" aspectratio="f"/>
                      <v:textbox>
                        <w:txbxContent>
                          <w:p>
                            <w:pPr>
                              <w:rPr>
                                <w:sz w:val="18"/>
                                <w:szCs w:val="21"/>
                              </w:rPr>
                            </w:pPr>
                            <w:r>
                              <w:rPr>
                                <w:rFonts w:hint="eastAsia"/>
                                <w:sz w:val="18"/>
                                <w:szCs w:val="21"/>
                              </w:rPr>
                              <w:t>水</w:t>
                            </w:r>
                          </w:p>
                        </w:txbxContent>
                      </v:textbox>
                    </v:shape>
                  </w:pict>
                </mc:Fallback>
              </mc:AlternateContent>
            </w:r>
            <w:bookmarkEnd w:id="5"/>
            <w:r>
              <w:rPr>
                <w:rFonts w:hint="eastAsia"/>
                <w:b/>
                <w:bCs/>
                <w:color w:val="auto"/>
                <w:sz w:val="24"/>
                <w:szCs w:val="32"/>
                <w:lang w:val="en-US" w:eastAsia="zh-CN"/>
              </w:rPr>
              <w:t>（3）光伏玻璃生产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集成（夹层）</w:t>
            </w:r>
            <w:r>
              <w:rPr>
                <w:color w:val="auto"/>
                <w:sz w:val="24"/>
                <w:szCs w:val="32"/>
              </w:rPr>
              <w:t>：</w:t>
            </w:r>
            <w:r>
              <w:rPr>
                <w:rFonts w:hint="eastAsia"/>
                <w:color w:val="auto"/>
                <w:sz w:val="24"/>
                <w:szCs w:val="32"/>
                <w:lang w:val="en-US" w:eastAsia="zh-CN"/>
              </w:rPr>
              <w:t>将光伏基板、建筑玻璃、PVB膜等原料按照建筑玻璃+PVB膜+光伏基板+PVB膜+建筑玻璃的顺序进行叠放，然后非高压热压夹层机内进行集成，非高压热压夹层机在抽真空的同时进行加热，使PVB膜熔融后粘合，该工序会产生非甲烷总烃，抽真空产生的废气经过滤棉+二级活性炭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焊接电源、控制芯片：集成后的光伏玻璃人工焊接电源以及控制芯片</w:t>
            </w:r>
            <w:r>
              <w:rPr>
                <w:rFonts w:hint="eastAsia"/>
                <w:bCs/>
                <w:color w:val="auto"/>
                <w:sz w:val="24"/>
                <w:szCs w:val="32"/>
                <w:lang w:val="en-US" w:eastAsia="zh-CN"/>
              </w:rPr>
              <w:t>，主要是焊丝焊接过程中产生的烟气，经移动式焊烟净化器收集处理后在车间内无组织排放。</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auto"/>
                <w:sz w:val="24"/>
                <w:szCs w:val="32"/>
              </w:rPr>
            </w:pPr>
            <w:r>
              <w:rPr>
                <w:rFonts w:hint="eastAsia"/>
                <w:color w:val="auto"/>
                <w:sz w:val="24"/>
                <w:szCs w:val="32"/>
                <w:lang w:val="en-US" w:eastAsia="zh-CN"/>
              </w:rPr>
              <w:t>出货</w:t>
            </w:r>
            <w:r>
              <w:rPr>
                <w:color w:val="auto"/>
                <w:sz w:val="24"/>
                <w:szCs w:val="32"/>
              </w:rPr>
              <w:t>：</w:t>
            </w:r>
            <w:r>
              <w:rPr>
                <w:rFonts w:hint="eastAsia"/>
                <w:color w:val="auto"/>
                <w:sz w:val="24"/>
                <w:szCs w:val="32"/>
                <w:lang w:val="en-US" w:eastAsia="zh-CN"/>
              </w:rPr>
              <w:t>检验检测</w:t>
            </w:r>
            <w:r>
              <w:rPr>
                <w:color w:val="auto"/>
                <w:sz w:val="24"/>
                <w:szCs w:val="32"/>
              </w:rPr>
              <w:t>合格品进行简单人工包装后放入成品库房中待售。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color w:val="auto"/>
                <w:szCs w:val="21"/>
                <w:lang w:val="zh-CN"/>
              </w:rPr>
            </w:pPr>
            <w:r>
              <w:rPr>
                <w:rFonts w:hint="eastAsia"/>
                <w:b/>
                <w:color w:val="auto"/>
                <w:szCs w:val="21"/>
                <w:lang w:val="zh-CN"/>
              </w:rPr>
              <w:object>
                <v:shape id="_x0000_i1028" o:spt="75" type="#_x0000_t75" style="height:244.95pt;width:271.75pt;" o:ole="t" filled="f" o:preferrelative="t" stroked="f" coordsize="21600,21600">
                  <v:path/>
                  <v:fill on="f" focussize="0,0"/>
                  <v:stroke on="f"/>
                  <v:imagedata r:id="rId15" o:title=""/>
                  <o:lock v:ext="edit" aspectratio="f"/>
                  <w10:wrap type="none"/>
                  <w10:anchorlock/>
                </v:shape>
                <o:OLEObject Type="Embed" ProgID="Visio.Drawing.11" ShapeID="_x0000_i1028" DrawAspect="Content" ObjectID="_1468075728" r:id="rId14">
                  <o:LockedField>false</o:LockedField>
                </o:OLEObject>
              </w:object>
            </w:r>
          </w:p>
          <w:p>
            <w:pPr>
              <w:bidi w:val="0"/>
              <w:jc w:val="center"/>
              <w:rPr>
                <w:b/>
                <w:bCs/>
                <w:color w:val="auto"/>
              </w:rPr>
            </w:pPr>
            <w:r>
              <w:rPr>
                <w:b/>
                <w:bCs/>
                <w:color w:val="auto"/>
              </w:rPr>
              <w:t>图2-</w:t>
            </w:r>
            <w:r>
              <w:rPr>
                <w:rFonts w:hint="eastAsia"/>
                <w:b/>
                <w:bCs/>
                <w:color w:val="auto"/>
                <w:lang w:val="en-US" w:eastAsia="zh-CN"/>
              </w:rPr>
              <w:t>4</w:t>
            </w:r>
            <w:r>
              <w:rPr>
                <w:b/>
                <w:bCs/>
                <w:color w:val="auto"/>
              </w:rPr>
              <w:t xml:space="preserve">  </w:t>
            </w:r>
            <w:r>
              <w:rPr>
                <w:rFonts w:hint="eastAsia"/>
                <w:b/>
                <w:bCs/>
                <w:color w:val="auto"/>
                <w:lang w:val="en-US" w:eastAsia="zh-CN"/>
              </w:rPr>
              <w:t>光伏玻璃</w:t>
            </w:r>
            <w:r>
              <w:rPr>
                <w:b/>
                <w:bCs/>
                <w:color w:val="auto"/>
              </w:rPr>
              <w:t>生产工艺流程及产污环节图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b/>
                <w:bCs/>
                <w:color w:val="auto"/>
                <w:sz w:val="24"/>
                <w:szCs w:val="32"/>
                <w:lang w:val="en-US" w:eastAsia="zh-CN"/>
              </w:rPr>
            </w:pPr>
            <w:r>
              <w:rPr>
                <w:rFonts w:hint="eastAsia"/>
                <w:b/>
                <w:bCs/>
                <w:color w:val="auto"/>
                <w:sz w:val="24"/>
                <w:szCs w:val="32"/>
                <w:lang w:val="en-US" w:eastAsia="zh-CN"/>
              </w:rPr>
              <w:t>（4）太阳能光伏夹层玻璃生产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集成（夹层）</w:t>
            </w:r>
            <w:r>
              <w:rPr>
                <w:color w:val="auto"/>
                <w:sz w:val="24"/>
                <w:szCs w:val="32"/>
              </w:rPr>
              <w:t>：</w:t>
            </w:r>
            <w:r>
              <w:rPr>
                <w:rFonts w:hint="eastAsia"/>
                <w:color w:val="auto"/>
                <w:sz w:val="24"/>
                <w:szCs w:val="32"/>
                <w:lang w:val="en-US" w:eastAsia="zh-CN"/>
              </w:rPr>
              <w:t>将光伏基板、LED基板、建筑玻璃、PVB膜等原料按照建筑玻璃+PVB膜+光伏基板+PVB膜+LED基板+PVB膜+建筑玻璃的顺序进行叠放，然后非高压热压夹层机内进行集成，非高压热压夹层机在抽真空的同时进行加热，使PVB膜熔融后粘合，该工序会产生非甲烷总烃，抽真空产生的废气经过滤棉+二级活性炭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焊接电源、控制芯片：集成后的太阳能光伏夹层玻璃人工焊接电源以及控制芯片</w:t>
            </w:r>
            <w:r>
              <w:rPr>
                <w:rFonts w:hint="eastAsia"/>
                <w:bCs/>
                <w:color w:val="auto"/>
                <w:sz w:val="24"/>
                <w:szCs w:val="32"/>
                <w:lang w:val="en-US" w:eastAsia="zh-CN"/>
              </w:rPr>
              <w:t>，主要是焊丝焊接过程中产生的烟气，经移动式焊烟净化器收集处理后在车间内无组织排放。</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auto"/>
                <w:sz w:val="24"/>
                <w:szCs w:val="32"/>
              </w:rPr>
            </w:pPr>
            <w:r>
              <w:rPr>
                <w:rFonts w:hint="eastAsia"/>
                <w:color w:val="auto"/>
                <w:sz w:val="24"/>
                <w:szCs w:val="32"/>
                <w:lang w:val="en-US" w:eastAsia="zh-CN"/>
              </w:rPr>
              <w:t>出货</w:t>
            </w:r>
            <w:r>
              <w:rPr>
                <w:color w:val="auto"/>
                <w:sz w:val="24"/>
                <w:szCs w:val="32"/>
              </w:rPr>
              <w:t>：</w:t>
            </w:r>
            <w:r>
              <w:rPr>
                <w:rFonts w:hint="eastAsia"/>
                <w:color w:val="auto"/>
                <w:sz w:val="24"/>
                <w:szCs w:val="32"/>
                <w:lang w:val="en-US" w:eastAsia="zh-CN"/>
              </w:rPr>
              <w:t>检验检测</w:t>
            </w:r>
            <w:r>
              <w:rPr>
                <w:color w:val="auto"/>
                <w:sz w:val="24"/>
                <w:szCs w:val="32"/>
              </w:rPr>
              <w:t>合格品进行简单人工包装后放入成品库房中待售。</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color w:val="auto"/>
                <w:szCs w:val="21"/>
                <w:lang w:val="zh-CN"/>
              </w:rPr>
            </w:pPr>
            <w:r>
              <w:rPr>
                <w:rFonts w:hint="eastAsia"/>
                <w:b/>
                <w:color w:val="auto"/>
                <w:szCs w:val="21"/>
                <w:lang w:val="zh-CN"/>
              </w:rPr>
              <w:object>
                <v:shape id="_x0000_i1029" o:spt="75" type="#_x0000_t75" style="height:262.65pt;width:290.1pt;" o:ole="t" filled="f" o:preferrelative="t" stroked="f" coordsize="21600,21600">
                  <v:path/>
                  <v:fill on="f" focussize="0,0"/>
                  <v:stroke on="f"/>
                  <v:imagedata r:id="rId17" o:title=""/>
                  <o:lock v:ext="edit" aspectratio="f"/>
                  <w10:wrap type="none"/>
                  <w10:anchorlock/>
                </v:shape>
                <o:OLEObject Type="Embed" ProgID="Visio.Drawing.11" ShapeID="_x0000_i1029" DrawAspect="Content" ObjectID="_1468075729" r:id="rId16">
                  <o:LockedField>false</o:LockedField>
                </o:OLEObject>
              </w:object>
            </w:r>
          </w:p>
          <w:p>
            <w:pPr>
              <w:bidi w:val="0"/>
              <w:jc w:val="center"/>
              <w:rPr>
                <w:b/>
                <w:bCs/>
                <w:color w:val="auto"/>
              </w:rPr>
            </w:pPr>
            <w:r>
              <w:rPr>
                <w:b/>
                <w:bCs/>
                <w:color w:val="auto"/>
              </w:rPr>
              <w:t>图2-</w:t>
            </w:r>
            <w:r>
              <w:rPr>
                <w:rFonts w:hint="eastAsia"/>
                <w:b/>
                <w:bCs/>
                <w:color w:val="auto"/>
                <w:lang w:val="en-US" w:eastAsia="zh-CN"/>
              </w:rPr>
              <w:t>5</w:t>
            </w:r>
            <w:r>
              <w:rPr>
                <w:b/>
                <w:bCs/>
                <w:color w:val="auto"/>
              </w:rPr>
              <w:t xml:space="preserve">  </w:t>
            </w:r>
            <w:r>
              <w:rPr>
                <w:rFonts w:hint="eastAsia"/>
                <w:b/>
                <w:bCs/>
                <w:color w:val="auto"/>
                <w:lang w:val="en-US" w:eastAsia="zh-CN"/>
              </w:rPr>
              <w:t>光太阳能光伏夹层玻璃</w:t>
            </w:r>
            <w:r>
              <w:rPr>
                <w:b/>
                <w:bCs/>
                <w:color w:val="auto"/>
              </w:rPr>
              <w:t>生产工艺流程及产污环节图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b/>
                <w:bCs/>
                <w:color w:val="auto"/>
                <w:sz w:val="24"/>
                <w:szCs w:val="32"/>
                <w:lang w:val="en-US" w:eastAsia="zh-CN"/>
              </w:rPr>
            </w:pPr>
            <w:r>
              <w:rPr>
                <w:rFonts w:hint="eastAsia"/>
                <w:b/>
                <w:bCs/>
                <w:color w:val="auto"/>
                <w:sz w:val="24"/>
                <w:szCs w:val="32"/>
                <w:lang w:val="en-US" w:eastAsia="zh-CN"/>
              </w:rPr>
              <w:t>（5）电致变色玻璃、调光玻璃生产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集成（夹层）</w:t>
            </w:r>
            <w:r>
              <w:rPr>
                <w:color w:val="auto"/>
                <w:sz w:val="24"/>
                <w:szCs w:val="32"/>
              </w:rPr>
              <w:t>：</w:t>
            </w:r>
            <w:r>
              <w:rPr>
                <w:rFonts w:hint="eastAsia"/>
                <w:color w:val="auto"/>
                <w:sz w:val="24"/>
                <w:szCs w:val="32"/>
                <w:lang w:val="en-US" w:eastAsia="zh-CN"/>
              </w:rPr>
              <w:t>将电致变色中间层、建筑玻璃、PVB膜等原料按照建筑玻璃+PVB膜+电致变色中间层+PVB膜+建筑玻璃的顺序进行叠放，然后非高压热压夹层机内进行集成，非高压热压夹层机在抽真空的同时进行加热，使PVB膜熔融后粘合，该工序会产生非甲烷总烃，抽真空产生的废气经过滤棉+二级活性炭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焊接电源、控制芯片：集成后的电致变色玻璃、调光玻璃人工焊接电源以及控制芯片</w:t>
            </w:r>
            <w:r>
              <w:rPr>
                <w:rFonts w:hint="eastAsia"/>
                <w:bCs/>
                <w:color w:val="auto"/>
                <w:sz w:val="24"/>
                <w:szCs w:val="32"/>
                <w:lang w:val="en-US" w:eastAsia="zh-CN"/>
              </w:rPr>
              <w:t>，主要是焊丝焊接过程中产生的烟气，经移动式焊烟净化器收集处理后在车间内无组织排放。</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r>
              <w:rPr>
                <w:rFonts w:hint="eastAsia"/>
                <w:color w:val="auto"/>
                <w:sz w:val="24"/>
                <w:szCs w:val="32"/>
                <w:lang w:val="en-US" w:eastAsia="zh-CN"/>
              </w:rPr>
              <w:t>出货</w:t>
            </w:r>
            <w:r>
              <w:rPr>
                <w:color w:val="auto"/>
                <w:sz w:val="24"/>
                <w:szCs w:val="32"/>
              </w:rPr>
              <w:t>：</w:t>
            </w:r>
            <w:r>
              <w:rPr>
                <w:rFonts w:hint="eastAsia"/>
                <w:color w:val="auto"/>
                <w:sz w:val="24"/>
                <w:szCs w:val="32"/>
                <w:lang w:val="en-US" w:eastAsia="zh-CN"/>
              </w:rPr>
              <w:t>检验检测</w:t>
            </w:r>
            <w:r>
              <w:rPr>
                <w:color w:val="auto"/>
                <w:sz w:val="24"/>
                <w:szCs w:val="32"/>
              </w:rPr>
              <w:t>合格品进行简单人工包装后放入成品库房中待售</w:t>
            </w:r>
            <w:r>
              <w:rPr>
                <w:rFonts w:hint="eastAsia"/>
                <w:color w:val="auto"/>
                <w:sz w:val="24"/>
                <w:szCs w:val="32"/>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color w:val="auto"/>
                <w:sz w:val="24"/>
                <w:szCs w:val="32"/>
                <w:lang w:eastAsia="zh-CN"/>
              </w:rPr>
            </w:pP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auto"/>
                <w:sz w:val="24"/>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color w:val="auto"/>
                <w:szCs w:val="21"/>
                <w:lang w:val="zh-CN"/>
              </w:rPr>
            </w:pPr>
            <w:r>
              <w:rPr>
                <w:rFonts w:hint="eastAsia"/>
                <w:b/>
                <w:color w:val="auto"/>
                <w:szCs w:val="21"/>
                <w:lang w:val="zh-CN"/>
              </w:rPr>
              <w:object>
                <v:shape id="_x0000_i1030" o:spt="75" type="#_x0000_t75" style="height:230.8pt;width:261pt;" o:ole="t" filled="f" o:preferrelative="t" stroked="f" coordsize="21600,21600">
                  <v:path/>
                  <v:fill on="f" focussize="0,0"/>
                  <v:stroke on="f"/>
                  <v:imagedata r:id="rId19" o:title=""/>
                  <o:lock v:ext="edit" aspectratio="f"/>
                  <w10:wrap type="none"/>
                  <w10:anchorlock/>
                </v:shape>
                <o:OLEObject Type="Embed" ProgID="Visio.Drawing.11" ShapeID="_x0000_i1030" DrawAspect="Content" ObjectID="_1468075730" r:id="rId18">
                  <o:LockedField>false</o:LockedField>
                </o:OLEObject>
              </w:object>
            </w:r>
          </w:p>
          <w:p>
            <w:pPr>
              <w:bidi w:val="0"/>
              <w:jc w:val="center"/>
              <w:rPr>
                <w:b/>
                <w:bCs/>
                <w:color w:val="auto"/>
              </w:rPr>
            </w:pPr>
            <w:r>
              <w:rPr>
                <w:b/>
                <w:bCs/>
                <w:color w:val="auto"/>
              </w:rPr>
              <w:t>图2-</w:t>
            </w:r>
            <w:r>
              <w:rPr>
                <w:rFonts w:hint="eastAsia"/>
                <w:b/>
                <w:bCs/>
                <w:color w:val="auto"/>
                <w:lang w:val="en-US" w:eastAsia="zh-CN"/>
              </w:rPr>
              <w:t>6</w:t>
            </w:r>
            <w:r>
              <w:rPr>
                <w:b/>
                <w:bCs/>
                <w:color w:val="auto"/>
              </w:rPr>
              <w:t xml:space="preserve">  </w:t>
            </w:r>
            <w:r>
              <w:rPr>
                <w:rFonts w:hint="eastAsia"/>
                <w:b/>
                <w:bCs/>
                <w:color w:val="auto"/>
                <w:sz w:val="21"/>
                <w:szCs w:val="24"/>
                <w:lang w:val="en-US" w:eastAsia="zh-CN"/>
              </w:rPr>
              <w:t>电致变色玻璃、调光玻璃</w:t>
            </w:r>
            <w:r>
              <w:rPr>
                <w:b/>
                <w:bCs/>
                <w:color w:val="auto"/>
              </w:rPr>
              <w:t>生产工艺流程及产污环节图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b/>
                <w:bCs/>
                <w:color w:val="auto"/>
                <w:sz w:val="24"/>
                <w:szCs w:val="32"/>
                <w:lang w:val="en-US" w:eastAsia="zh-CN"/>
              </w:rPr>
            </w:pPr>
            <w:r>
              <w:rPr>
                <w:rFonts w:hint="eastAsia"/>
                <w:b/>
                <w:bCs/>
                <w:color w:val="auto"/>
                <w:sz w:val="24"/>
                <w:szCs w:val="32"/>
                <w:lang w:val="en-US" w:eastAsia="zh-CN"/>
              </w:rPr>
              <w:t>（6）超低能耗玻璃生产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集成（夹层）</w:t>
            </w:r>
            <w:r>
              <w:rPr>
                <w:color w:val="auto"/>
                <w:sz w:val="24"/>
                <w:szCs w:val="32"/>
              </w:rPr>
              <w:t>：</w:t>
            </w:r>
            <w:r>
              <w:rPr>
                <w:rFonts w:hint="eastAsia"/>
                <w:color w:val="auto"/>
                <w:sz w:val="24"/>
                <w:szCs w:val="32"/>
                <w:lang w:val="en-US" w:eastAsia="zh-CN"/>
              </w:rPr>
              <w:t>将建筑玻璃、PVB膜等原料按照建筑玻璃+PVB膜+建筑玻璃+PVB膜+建筑玻璃的顺序进行叠放，然后非高压热压夹层机内进行集成，非高压热压夹层机在抽真空的同时进行加热，使PVB膜熔融后粘合，该工序会产生非甲烷总烃，抽真空产生的废气经过滤棉+二级活性炭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rFonts w:hint="eastAsia"/>
                <w:color w:val="auto"/>
                <w:sz w:val="24"/>
                <w:szCs w:val="32"/>
                <w:lang w:val="en-US" w:eastAsia="zh-CN"/>
              </w:rPr>
              <w:t>焊接电源、控制芯片：集成后的电致变色玻璃、调光玻璃人工焊接电源以及控制芯片</w:t>
            </w:r>
            <w:r>
              <w:rPr>
                <w:rFonts w:hint="eastAsia"/>
                <w:bCs/>
                <w:color w:val="auto"/>
                <w:sz w:val="24"/>
                <w:szCs w:val="32"/>
                <w:lang w:val="en-US" w:eastAsia="zh-CN"/>
              </w:rPr>
              <w:t>，主要是焊丝焊接过程中产生的烟气，经移动式焊烟净化器收集处理后在车间内无组织排放。</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auto"/>
                <w:sz w:val="24"/>
                <w:szCs w:val="32"/>
              </w:rPr>
            </w:pPr>
            <w:r>
              <w:rPr>
                <w:rFonts w:hint="eastAsia"/>
                <w:color w:val="auto"/>
                <w:sz w:val="24"/>
                <w:szCs w:val="32"/>
                <w:lang w:val="en-US" w:eastAsia="zh-CN"/>
              </w:rPr>
              <w:t>出货</w:t>
            </w:r>
            <w:r>
              <w:rPr>
                <w:color w:val="auto"/>
                <w:sz w:val="24"/>
                <w:szCs w:val="32"/>
              </w:rPr>
              <w:t>：</w:t>
            </w:r>
            <w:r>
              <w:rPr>
                <w:rFonts w:hint="eastAsia"/>
                <w:color w:val="auto"/>
                <w:sz w:val="24"/>
                <w:szCs w:val="32"/>
                <w:lang w:val="en-US" w:eastAsia="zh-CN"/>
              </w:rPr>
              <w:t>检验检测</w:t>
            </w:r>
            <w:r>
              <w:rPr>
                <w:color w:val="auto"/>
                <w:sz w:val="24"/>
                <w:szCs w:val="32"/>
              </w:rPr>
              <w:t>合格品进行简单人工包装后放入成品库房中待售。</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b/>
                <w:bCs/>
                <w:color w:val="auto"/>
                <w:sz w:val="24"/>
                <w:szCs w:val="32"/>
                <w:lang w:val="en-US" w:eastAsia="zh-CN"/>
              </w:rPr>
            </w:pPr>
            <w:r>
              <w:rPr>
                <w:rFonts w:hint="eastAsia"/>
                <w:b/>
                <w:bCs/>
                <w:color w:val="auto"/>
                <w:sz w:val="24"/>
                <w:szCs w:val="32"/>
                <w:lang w:val="en-US" w:eastAsia="zh-CN"/>
              </w:rPr>
              <w:t>（7）超智慧环保卫生间生产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32"/>
                <w:lang w:val="en-US"/>
              </w:rPr>
            </w:pPr>
            <w:r>
              <w:rPr>
                <w:color w:val="auto"/>
                <w:sz w:val="24"/>
                <w:szCs w:val="32"/>
              </w:rPr>
              <w:t>工艺流程简介：</w:t>
            </w:r>
            <w:r>
              <w:rPr>
                <w:rFonts w:hint="eastAsia"/>
                <w:color w:val="auto"/>
                <w:sz w:val="24"/>
                <w:szCs w:val="32"/>
                <w:lang w:val="en-US" w:eastAsia="zh-CN"/>
              </w:rPr>
              <w:t>根据客户需要将各种玻璃进行人工组装成智慧环保卫生间。</w:t>
            </w:r>
          </w:p>
          <w:p>
            <w:pPr>
              <w:keepNext w:val="0"/>
              <w:keepLines w:val="0"/>
              <w:pageBreakBefore w:val="0"/>
              <w:widowControl w:val="0"/>
              <w:numPr>
                <w:ilvl w:val="0"/>
                <w:numId w:val="11"/>
              </w:numPr>
              <w:kinsoku/>
              <w:wordWrap/>
              <w:overflowPunct/>
              <w:topLinePunct w:val="0"/>
              <w:autoSpaceDE/>
              <w:autoSpaceDN/>
              <w:bidi w:val="0"/>
              <w:spacing w:line="360" w:lineRule="auto"/>
              <w:ind w:left="0" w:leftChars="0" w:firstLine="482" w:firstLineChars="200"/>
              <w:jc w:val="both"/>
              <w:textAlignment w:val="auto"/>
              <w:rPr>
                <w:rFonts w:hint="eastAsia"/>
                <w:b/>
                <w:bCs/>
                <w:color w:val="auto"/>
                <w:sz w:val="24"/>
                <w:szCs w:val="32"/>
                <w:lang w:val="en-US" w:eastAsia="zh-CN"/>
              </w:rPr>
            </w:pPr>
            <w:r>
              <w:rPr>
                <w:rFonts w:hint="eastAsia"/>
                <w:b/>
                <w:bCs/>
                <w:color w:val="auto"/>
                <w:sz w:val="24"/>
                <w:szCs w:val="32"/>
                <w:lang w:val="en-US" w:eastAsia="zh-CN"/>
              </w:rPr>
              <w:t>污染物产生及处理情况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szCs w:val="32"/>
                <w:lang w:val="zh-CN"/>
              </w:rPr>
            </w:pPr>
            <w:r>
              <w:rPr>
                <w:rFonts w:hint="eastAsia"/>
                <w:color w:val="auto"/>
                <w:sz w:val="24"/>
                <w:szCs w:val="24"/>
                <w:lang w:val="en-US" w:eastAsia="zh-CN"/>
              </w:rPr>
              <w:t>本项目产品多样，其主要生产设备非高压热压夹层机根据车间生产计划生产</w:t>
            </w:r>
            <w:r>
              <w:rPr>
                <w:rFonts w:hint="eastAsia" w:cs="Times New Roman"/>
                <w:color w:val="auto"/>
                <w:sz w:val="24"/>
                <w:szCs w:val="24"/>
                <w:lang w:val="en-US" w:eastAsia="zh-CN"/>
              </w:rPr>
              <w:t>太阳能光伏夹层玻璃、透明光电玻璃、光伏玻璃、电致变色玻璃、调光玻璃、超低能耗玻璃。</w:t>
            </w:r>
          </w:p>
          <w:p>
            <w:pPr>
              <w:ind w:firstLine="422" w:firstLineChars="200"/>
              <w:jc w:val="center"/>
              <w:rPr>
                <w:b/>
                <w:color w:val="auto"/>
                <w:szCs w:val="21"/>
                <w:lang w:val="zh-CN"/>
              </w:rPr>
            </w:pPr>
            <w:r>
              <w:rPr>
                <w:rFonts w:hint="eastAsia"/>
                <w:b/>
                <w:color w:val="auto"/>
                <w:szCs w:val="21"/>
                <w:lang w:val="zh-CN"/>
              </w:rPr>
              <w:t>表</w:t>
            </w:r>
            <w:r>
              <w:rPr>
                <w:b/>
                <w:color w:val="auto"/>
                <w:szCs w:val="21"/>
              </w:rPr>
              <w:t>2-</w:t>
            </w:r>
            <w:r>
              <w:rPr>
                <w:rFonts w:hint="eastAsia"/>
                <w:b/>
                <w:color w:val="auto"/>
                <w:szCs w:val="21"/>
                <w:lang w:val="en-US" w:eastAsia="zh-CN"/>
              </w:rPr>
              <w:t xml:space="preserve">8  </w:t>
            </w:r>
            <w:r>
              <w:rPr>
                <w:rFonts w:hint="eastAsia"/>
                <w:b/>
                <w:color w:val="auto"/>
                <w:szCs w:val="21"/>
                <w:lang w:val="zh-CN"/>
              </w:rPr>
              <w:t>项目产污环节汇总一览表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29"/>
              <w:gridCol w:w="3178"/>
              <w:gridCol w:w="419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tcMar>
                    <w:left w:w="28" w:type="dxa"/>
                    <w:right w:w="28" w:type="dxa"/>
                  </w:tcMar>
                  <w:vAlign w:val="center"/>
                </w:tcPr>
                <w:p>
                  <w:pPr>
                    <w:tabs>
                      <w:tab w:val="left" w:pos="945"/>
                    </w:tabs>
                    <w:spacing w:line="320" w:lineRule="exact"/>
                    <w:jc w:val="center"/>
                    <w:rPr>
                      <w:b w:val="0"/>
                      <w:bCs/>
                      <w:color w:val="auto"/>
                      <w:szCs w:val="21"/>
                    </w:rPr>
                  </w:pPr>
                  <w:r>
                    <w:rPr>
                      <w:b w:val="0"/>
                      <w:bCs/>
                      <w:color w:val="auto"/>
                      <w:szCs w:val="21"/>
                    </w:rPr>
                    <w:t>污染物</w:t>
                  </w:r>
                </w:p>
                <w:p>
                  <w:pPr>
                    <w:tabs>
                      <w:tab w:val="left" w:pos="945"/>
                    </w:tabs>
                    <w:spacing w:line="320" w:lineRule="exact"/>
                    <w:jc w:val="center"/>
                    <w:rPr>
                      <w:b w:val="0"/>
                      <w:bCs/>
                      <w:color w:val="auto"/>
                      <w:szCs w:val="21"/>
                    </w:rPr>
                  </w:pPr>
                  <w:r>
                    <w:rPr>
                      <w:rFonts w:hint="eastAsia"/>
                      <w:b w:val="0"/>
                      <w:bCs/>
                      <w:color w:val="auto"/>
                      <w:szCs w:val="21"/>
                    </w:rPr>
                    <w:t>类别</w:t>
                  </w:r>
                </w:p>
              </w:tc>
              <w:tc>
                <w:tcPr>
                  <w:tcW w:w="1936" w:type="pct"/>
                  <w:tcMar>
                    <w:left w:w="28" w:type="dxa"/>
                    <w:right w:w="28" w:type="dxa"/>
                  </w:tcMar>
                  <w:vAlign w:val="center"/>
                </w:tcPr>
                <w:p>
                  <w:pPr>
                    <w:tabs>
                      <w:tab w:val="left" w:pos="945"/>
                    </w:tabs>
                    <w:snapToGrid w:val="0"/>
                    <w:jc w:val="center"/>
                    <w:rPr>
                      <w:b w:val="0"/>
                      <w:bCs/>
                      <w:color w:val="auto"/>
                      <w:szCs w:val="21"/>
                    </w:rPr>
                  </w:pPr>
                  <w:r>
                    <w:rPr>
                      <w:rFonts w:hint="eastAsia"/>
                      <w:b w:val="0"/>
                      <w:bCs/>
                      <w:color w:val="auto"/>
                      <w:szCs w:val="21"/>
                    </w:rPr>
                    <w:t>产生工序</w:t>
                  </w:r>
                </w:p>
              </w:tc>
              <w:tc>
                <w:tcPr>
                  <w:tcW w:w="2558" w:type="pct"/>
                  <w:tcMar>
                    <w:left w:w="28" w:type="dxa"/>
                    <w:right w:w="28" w:type="dxa"/>
                  </w:tcMar>
                  <w:vAlign w:val="center"/>
                </w:tcPr>
                <w:p>
                  <w:pPr>
                    <w:tabs>
                      <w:tab w:val="left" w:pos="945"/>
                    </w:tabs>
                    <w:jc w:val="center"/>
                    <w:rPr>
                      <w:b w:val="0"/>
                      <w:bCs/>
                      <w:color w:val="auto"/>
                      <w:szCs w:val="21"/>
                    </w:rPr>
                  </w:pPr>
                  <w:r>
                    <w:rPr>
                      <w:rFonts w:hint="eastAsia"/>
                      <w:b w:val="0"/>
                      <w:bCs/>
                      <w:color w:val="auto"/>
                      <w:szCs w:val="21"/>
                    </w:rPr>
                    <w:t>主要</w:t>
                  </w:r>
                  <w:r>
                    <w:rPr>
                      <w:b w:val="0"/>
                      <w:bCs/>
                      <w:color w:val="auto"/>
                      <w:szCs w:val="21"/>
                    </w:rPr>
                    <w:t>污染因子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restart"/>
                  <w:tcMar>
                    <w:left w:w="28" w:type="dxa"/>
                    <w:right w:w="28" w:type="dxa"/>
                  </w:tcMar>
                  <w:vAlign w:val="center"/>
                </w:tcPr>
                <w:p>
                  <w:pPr>
                    <w:tabs>
                      <w:tab w:val="left" w:pos="945"/>
                    </w:tabs>
                    <w:spacing w:line="320" w:lineRule="exact"/>
                    <w:jc w:val="center"/>
                    <w:rPr>
                      <w:color w:val="auto"/>
                      <w:szCs w:val="21"/>
                    </w:rPr>
                  </w:pPr>
                  <w:r>
                    <w:rPr>
                      <w:color w:val="auto"/>
                      <w:szCs w:val="21"/>
                    </w:rPr>
                    <w:t>废气</w:t>
                  </w:r>
                </w:p>
              </w:tc>
              <w:tc>
                <w:tcPr>
                  <w:tcW w:w="1936" w:type="pct"/>
                  <w:tcMar>
                    <w:left w:w="28" w:type="dxa"/>
                    <w:right w:w="28" w:type="dxa"/>
                  </w:tcMar>
                  <w:vAlign w:val="center"/>
                </w:tcPr>
                <w:p>
                  <w:pPr>
                    <w:tabs>
                      <w:tab w:val="left" w:pos="945"/>
                    </w:tabs>
                    <w:snapToGrid w:val="0"/>
                    <w:jc w:val="center"/>
                    <w:rPr>
                      <w:rFonts w:hint="default" w:eastAsia="宋体"/>
                      <w:color w:val="auto"/>
                      <w:szCs w:val="21"/>
                      <w:lang w:val="en-US" w:eastAsia="zh-CN"/>
                    </w:rPr>
                  </w:pPr>
                  <w:r>
                    <w:rPr>
                      <w:rFonts w:hint="eastAsia"/>
                      <w:color w:val="auto"/>
                      <w:szCs w:val="21"/>
                      <w:lang w:val="en-US" w:eastAsia="zh-CN"/>
                    </w:rPr>
                    <w:t>单晶硅片串焊机</w:t>
                  </w:r>
                </w:p>
              </w:tc>
              <w:tc>
                <w:tcPr>
                  <w:tcW w:w="2558" w:type="pct"/>
                  <w:tcMar>
                    <w:left w:w="28" w:type="dxa"/>
                    <w:right w:w="28" w:type="dxa"/>
                  </w:tcMar>
                  <w:vAlign w:val="center"/>
                </w:tcPr>
                <w:p>
                  <w:pPr>
                    <w:jc w:val="center"/>
                    <w:rPr>
                      <w:rFonts w:hint="default" w:eastAsia="宋体"/>
                      <w:color w:val="auto"/>
                      <w:szCs w:val="21"/>
                      <w:lang w:val="en-US" w:eastAsia="zh-CN"/>
                    </w:rPr>
                  </w:pPr>
                  <w:r>
                    <w:rPr>
                      <w:rFonts w:hint="eastAsia"/>
                      <w:color w:val="auto"/>
                      <w:szCs w:val="21"/>
                      <w:lang w:val="en-US" w:eastAsia="zh-CN"/>
                    </w:rPr>
                    <w:t>颗粒物、锡及其化合物、非甲烷总烃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tabs>
                      <w:tab w:val="left" w:pos="945"/>
                    </w:tabs>
                    <w:spacing w:line="320" w:lineRule="exact"/>
                    <w:jc w:val="center"/>
                    <w:rPr>
                      <w:color w:val="auto"/>
                      <w:szCs w:val="21"/>
                    </w:rPr>
                  </w:pPr>
                </w:p>
              </w:tc>
              <w:tc>
                <w:tcPr>
                  <w:tcW w:w="1936" w:type="pct"/>
                  <w:tcMar>
                    <w:left w:w="28" w:type="dxa"/>
                    <w:right w:w="28" w:type="dxa"/>
                  </w:tcMar>
                  <w:vAlign w:val="center"/>
                </w:tcPr>
                <w:p>
                  <w:pPr>
                    <w:tabs>
                      <w:tab w:val="left" w:pos="945"/>
                    </w:tabs>
                    <w:snapToGrid w:val="0"/>
                    <w:jc w:val="center"/>
                    <w:rPr>
                      <w:rFonts w:hint="eastAsia" w:eastAsia="宋体"/>
                      <w:color w:val="auto"/>
                      <w:szCs w:val="21"/>
                      <w:lang w:val="en-US" w:eastAsia="zh-CN"/>
                    </w:rPr>
                  </w:pPr>
                  <w:r>
                    <w:rPr>
                      <w:rFonts w:hint="eastAsia"/>
                      <w:color w:val="auto"/>
                      <w:szCs w:val="21"/>
                      <w:lang w:val="en-US" w:eastAsia="zh-CN"/>
                    </w:rPr>
                    <w:t>回流焊</w:t>
                  </w:r>
                </w:p>
              </w:tc>
              <w:tc>
                <w:tcPr>
                  <w:tcW w:w="2558" w:type="pct"/>
                  <w:tcMar>
                    <w:left w:w="28" w:type="dxa"/>
                    <w:right w:w="28" w:type="dxa"/>
                  </w:tcMar>
                  <w:vAlign w:val="center"/>
                </w:tcPr>
                <w:p>
                  <w:pPr>
                    <w:jc w:val="center"/>
                    <w:rPr>
                      <w:rFonts w:hint="eastAsia" w:eastAsia="宋体"/>
                      <w:color w:val="auto"/>
                      <w:szCs w:val="21"/>
                      <w:lang w:val="en-US" w:eastAsia="zh-CN"/>
                    </w:rPr>
                  </w:pPr>
                  <w:r>
                    <w:rPr>
                      <w:rFonts w:hint="eastAsia"/>
                      <w:color w:val="auto"/>
                      <w:szCs w:val="21"/>
                      <w:lang w:val="en-US" w:eastAsia="zh-CN"/>
                    </w:rPr>
                    <w:t>颗粒物、锡及其化合物、非甲烷总烃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tabs>
                      <w:tab w:val="left" w:pos="945"/>
                    </w:tabs>
                    <w:spacing w:line="320" w:lineRule="exact"/>
                    <w:jc w:val="center"/>
                    <w:rPr>
                      <w:color w:val="auto"/>
                      <w:szCs w:val="21"/>
                    </w:rPr>
                  </w:pPr>
                </w:p>
              </w:tc>
              <w:tc>
                <w:tcPr>
                  <w:tcW w:w="1936" w:type="pct"/>
                  <w:tcMar>
                    <w:left w:w="28" w:type="dxa"/>
                    <w:right w:w="28" w:type="dxa"/>
                  </w:tcMar>
                  <w:vAlign w:val="center"/>
                </w:tcPr>
                <w:p>
                  <w:pPr>
                    <w:tabs>
                      <w:tab w:val="left" w:pos="945"/>
                    </w:tabs>
                    <w:snapToGrid w:val="0"/>
                    <w:jc w:val="center"/>
                    <w:rPr>
                      <w:rFonts w:hint="default"/>
                      <w:color w:val="auto"/>
                      <w:szCs w:val="21"/>
                      <w:lang w:val="en-US" w:eastAsia="zh-CN"/>
                    </w:rPr>
                  </w:pPr>
                  <w:r>
                    <w:rPr>
                      <w:rFonts w:hint="eastAsia"/>
                      <w:color w:val="auto"/>
                      <w:szCs w:val="21"/>
                      <w:lang w:val="en-US" w:eastAsia="zh-CN"/>
                    </w:rPr>
                    <w:t>非高压热压夹层机</w:t>
                  </w:r>
                </w:p>
              </w:tc>
              <w:tc>
                <w:tcPr>
                  <w:tcW w:w="2558" w:type="pct"/>
                  <w:tcMar>
                    <w:left w:w="28" w:type="dxa"/>
                    <w:right w:w="28" w:type="dxa"/>
                  </w:tcMar>
                  <w:vAlign w:val="center"/>
                </w:tcPr>
                <w:p>
                  <w:pPr>
                    <w:jc w:val="center"/>
                    <w:rPr>
                      <w:rFonts w:hint="eastAsia"/>
                      <w:color w:val="auto"/>
                      <w:szCs w:val="21"/>
                      <w:lang w:val="en-US" w:eastAsia="zh-CN"/>
                    </w:rPr>
                  </w:pPr>
                  <w:r>
                    <w:rPr>
                      <w:rFonts w:hint="eastAsia"/>
                      <w:color w:val="auto"/>
                      <w:szCs w:val="21"/>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tabs>
                      <w:tab w:val="left" w:pos="945"/>
                    </w:tabs>
                    <w:spacing w:line="320" w:lineRule="exact"/>
                    <w:jc w:val="center"/>
                    <w:rPr>
                      <w:color w:val="auto"/>
                      <w:szCs w:val="21"/>
                    </w:rPr>
                  </w:pPr>
                </w:p>
              </w:tc>
              <w:tc>
                <w:tcPr>
                  <w:tcW w:w="1936" w:type="pct"/>
                  <w:tcMar>
                    <w:left w:w="28" w:type="dxa"/>
                    <w:right w:w="28" w:type="dxa"/>
                  </w:tcMar>
                  <w:vAlign w:val="center"/>
                </w:tcPr>
                <w:p>
                  <w:pPr>
                    <w:tabs>
                      <w:tab w:val="left" w:pos="945"/>
                    </w:tabs>
                    <w:snapToGrid w:val="0"/>
                    <w:jc w:val="center"/>
                    <w:rPr>
                      <w:rFonts w:hint="default"/>
                      <w:color w:val="auto"/>
                      <w:szCs w:val="21"/>
                      <w:lang w:val="en-US" w:eastAsia="zh-CN"/>
                    </w:rPr>
                  </w:pPr>
                  <w:r>
                    <w:rPr>
                      <w:rFonts w:hint="eastAsia"/>
                      <w:color w:val="auto"/>
                      <w:szCs w:val="21"/>
                      <w:lang w:val="en-US" w:eastAsia="zh-CN"/>
                    </w:rPr>
                    <w:t>焊接电源、控制芯片</w:t>
                  </w:r>
                </w:p>
              </w:tc>
              <w:tc>
                <w:tcPr>
                  <w:tcW w:w="2558" w:type="pct"/>
                  <w:tcMar>
                    <w:left w:w="28" w:type="dxa"/>
                    <w:right w:w="28" w:type="dxa"/>
                  </w:tcMar>
                  <w:vAlign w:val="center"/>
                </w:tcPr>
                <w:p>
                  <w:pPr>
                    <w:jc w:val="center"/>
                    <w:rPr>
                      <w:rFonts w:hint="eastAsia"/>
                      <w:color w:val="auto"/>
                      <w:szCs w:val="21"/>
                      <w:lang w:val="en-US" w:eastAsia="zh-CN"/>
                    </w:rPr>
                  </w:pPr>
                  <w:r>
                    <w:rPr>
                      <w:rFonts w:hint="eastAsia"/>
                      <w:color w:val="auto"/>
                      <w:szCs w:val="21"/>
                      <w:lang w:val="en-US" w:eastAsia="zh-CN"/>
                    </w:rPr>
                    <w:t>颗粒物、锡及其化合物、非甲烷总烃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tcMar>
                    <w:left w:w="28" w:type="dxa"/>
                    <w:right w:w="28" w:type="dxa"/>
                  </w:tcMar>
                  <w:vAlign w:val="center"/>
                </w:tcPr>
                <w:p>
                  <w:pPr>
                    <w:tabs>
                      <w:tab w:val="left" w:pos="945"/>
                    </w:tabs>
                    <w:spacing w:line="320" w:lineRule="exact"/>
                    <w:jc w:val="center"/>
                    <w:rPr>
                      <w:color w:val="auto"/>
                      <w:szCs w:val="21"/>
                    </w:rPr>
                  </w:pPr>
                  <w:r>
                    <w:rPr>
                      <w:color w:val="auto"/>
                      <w:szCs w:val="21"/>
                    </w:rPr>
                    <w:t>废水</w:t>
                  </w:r>
                </w:p>
              </w:tc>
              <w:tc>
                <w:tcPr>
                  <w:tcW w:w="1936" w:type="pct"/>
                  <w:tcMar>
                    <w:left w:w="28" w:type="dxa"/>
                    <w:right w:w="28" w:type="dxa"/>
                  </w:tcMar>
                  <w:vAlign w:val="center"/>
                </w:tcPr>
                <w:p>
                  <w:pPr>
                    <w:tabs>
                      <w:tab w:val="left" w:pos="945"/>
                    </w:tabs>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生活污水</w:t>
                  </w:r>
                </w:p>
              </w:tc>
              <w:tc>
                <w:tcPr>
                  <w:tcW w:w="2558" w:type="pct"/>
                  <w:tcMar>
                    <w:left w:w="28" w:type="dxa"/>
                    <w:right w:w="28" w:type="dxa"/>
                  </w:tcMar>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pH、COD、BOD</w:t>
                  </w:r>
                  <w:r>
                    <w:rPr>
                      <w:rFonts w:hint="eastAsia"/>
                      <w:color w:val="auto"/>
                      <w:szCs w:val="21"/>
                      <w:vertAlign w:val="subscript"/>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tcMar>
                    <w:left w:w="28" w:type="dxa"/>
                    <w:right w:w="28" w:type="dxa"/>
                  </w:tcMar>
                  <w:vAlign w:val="center"/>
                </w:tcPr>
                <w:p>
                  <w:pPr>
                    <w:tabs>
                      <w:tab w:val="left" w:pos="945"/>
                    </w:tabs>
                    <w:spacing w:line="320" w:lineRule="exact"/>
                    <w:jc w:val="center"/>
                    <w:rPr>
                      <w:color w:val="auto"/>
                      <w:szCs w:val="21"/>
                    </w:rPr>
                  </w:pPr>
                  <w:r>
                    <w:rPr>
                      <w:color w:val="auto"/>
                      <w:szCs w:val="21"/>
                    </w:rPr>
                    <w:t>噪声</w:t>
                  </w:r>
                </w:p>
              </w:tc>
              <w:tc>
                <w:tcPr>
                  <w:tcW w:w="1936" w:type="pct"/>
                  <w:tcMar>
                    <w:left w:w="28" w:type="dxa"/>
                    <w:right w:w="28" w:type="dxa"/>
                  </w:tcMar>
                  <w:vAlign w:val="center"/>
                </w:tcPr>
                <w:p>
                  <w:pPr>
                    <w:tabs>
                      <w:tab w:val="left" w:pos="945"/>
                    </w:tabs>
                    <w:snapToGrid w:val="0"/>
                    <w:jc w:val="center"/>
                    <w:rPr>
                      <w:rFonts w:hint="default" w:eastAsia="宋体"/>
                      <w:color w:val="auto"/>
                      <w:szCs w:val="21"/>
                      <w:lang w:val="en-US" w:eastAsia="zh-CN"/>
                    </w:rPr>
                  </w:pPr>
                  <w:r>
                    <w:rPr>
                      <w:rFonts w:hint="eastAsia"/>
                      <w:color w:val="auto"/>
                      <w:szCs w:val="21"/>
                      <w:lang w:val="en-US" w:eastAsia="zh-CN"/>
                    </w:rPr>
                    <w:t>全自动钢网印刷机、高速贴片机、回流焊、风机</w:t>
                  </w:r>
                </w:p>
              </w:tc>
              <w:tc>
                <w:tcPr>
                  <w:tcW w:w="2558" w:type="pct"/>
                  <w:tcMar>
                    <w:left w:w="28" w:type="dxa"/>
                    <w:right w:w="28" w:type="dxa"/>
                  </w:tcMar>
                  <w:vAlign w:val="center"/>
                </w:tcPr>
                <w:p>
                  <w:pPr>
                    <w:tabs>
                      <w:tab w:val="left" w:pos="945"/>
                    </w:tabs>
                    <w:jc w:val="center"/>
                    <w:rPr>
                      <w:rFonts w:hint="eastAsia" w:eastAsia="宋体"/>
                      <w:color w:val="auto"/>
                      <w:szCs w:val="21"/>
                      <w:lang w:val="en-US" w:eastAsia="zh-CN"/>
                    </w:rPr>
                  </w:pPr>
                  <w:r>
                    <w:rPr>
                      <w:rFonts w:hint="eastAsia"/>
                      <w:color w:val="auto"/>
                      <w:szCs w:val="21"/>
                      <w:lang w:val="en-US" w:eastAsia="zh-CN"/>
                    </w:rPr>
                    <w:t>设备噪声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restart"/>
                  <w:tcMar>
                    <w:left w:w="28" w:type="dxa"/>
                    <w:right w:w="28" w:type="dxa"/>
                  </w:tcMar>
                  <w:vAlign w:val="center"/>
                </w:tcPr>
                <w:p>
                  <w:pPr>
                    <w:tabs>
                      <w:tab w:val="left" w:pos="945"/>
                    </w:tabs>
                    <w:spacing w:line="320" w:lineRule="exact"/>
                    <w:jc w:val="center"/>
                    <w:rPr>
                      <w:color w:val="auto"/>
                      <w:szCs w:val="21"/>
                    </w:rPr>
                  </w:pPr>
                  <w:r>
                    <w:rPr>
                      <w:color w:val="auto"/>
                      <w:szCs w:val="21"/>
                    </w:rPr>
                    <w:t>固体</w:t>
                  </w:r>
                </w:p>
                <w:p>
                  <w:pPr>
                    <w:tabs>
                      <w:tab w:val="left" w:pos="945"/>
                    </w:tabs>
                    <w:spacing w:line="320" w:lineRule="exact"/>
                    <w:jc w:val="center"/>
                    <w:rPr>
                      <w:color w:val="auto"/>
                      <w:szCs w:val="21"/>
                    </w:rPr>
                  </w:pPr>
                  <w:r>
                    <w:rPr>
                      <w:color w:val="auto"/>
                      <w:szCs w:val="21"/>
                    </w:rPr>
                    <w:t>废物</w:t>
                  </w:r>
                </w:p>
              </w:tc>
              <w:tc>
                <w:tcPr>
                  <w:tcW w:w="1936" w:type="pct"/>
                  <w:tcMar>
                    <w:left w:w="28" w:type="dxa"/>
                    <w:right w:w="28" w:type="dxa"/>
                  </w:tcMar>
                  <w:vAlign w:val="center"/>
                </w:tcPr>
                <w:p>
                  <w:pPr>
                    <w:bidi w:val="0"/>
                    <w:jc w:val="center"/>
                    <w:rPr>
                      <w:color w:val="auto"/>
                    </w:rPr>
                  </w:pPr>
                  <w:r>
                    <w:rPr>
                      <w:color w:val="auto"/>
                    </w:rPr>
                    <w:t>原辅料拆包</w:t>
                  </w:r>
                </w:p>
              </w:tc>
              <w:tc>
                <w:tcPr>
                  <w:tcW w:w="2558" w:type="pct"/>
                  <w:tcMar>
                    <w:left w:w="28" w:type="dxa"/>
                    <w:right w:w="28" w:type="dxa"/>
                  </w:tcMar>
                  <w:vAlign w:val="center"/>
                </w:tcPr>
                <w:p>
                  <w:pPr>
                    <w:bidi w:val="0"/>
                    <w:jc w:val="center"/>
                    <w:rPr>
                      <w:color w:val="auto"/>
                    </w:rPr>
                  </w:pPr>
                  <w:r>
                    <w:rPr>
                      <w:color w:val="auto"/>
                    </w:rPr>
                    <w:t>废包装桶/袋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widowControl/>
                    <w:spacing w:line="320" w:lineRule="exact"/>
                    <w:ind w:firstLine="420" w:firstLineChars="200"/>
                    <w:jc w:val="center"/>
                    <w:rPr>
                      <w:color w:val="auto"/>
                      <w:szCs w:val="21"/>
                    </w:rPr>
                  </w:pPr>
                </w:p>
              </w:tc>
              <w:tc>
                <w:tcPr>
                  <w:tcW w:w="1936" w:type="pct"/>
                  <w:tcMar>
                    <w:left w:w="28" w:type="dxa"/>
                    <w:right w:w="28" w:type="dxa"/>
                  </w:tcMar>
                  <w:vAlign w:val="center"/>
                </w:tcPr>
                <w:p>
                  <w:pPr>
                    <w:bidi w:val="0"/>
                    <w:jc w:val="center"/>
                    <w:rPr>
                      <w:rFonts w:hint="default" w:eastAsia="宋体"/>
                      <w:color w:val="auto"/>
                      <w:lang w:val="en-US" w:eastAsia="zh-CN"/>
                    </w:rPr>
                  </w:pPr>
                  <w:r>
                    <w:rPr>
                      <w:rFonts w:hint="eastAsia"/>
                      <w:color w:val="auto"/>
                      <w:lang w:val="en-US" w:eastAsia="zh-CN"/>
                    </w:rPr>
                    <w:t>检测检验</w:t>
                  </w:r>
                </w:p>
              </w:tc>
              <w:tc>
                <w:tcPr>
                  <w:tcW w:w="2558" w:type="pct"/>
                  <w:tcMar>
                    <w:left w:w="28" w:type="dxa"/>
                    <w:right w:w="28" w:type="dxa"/>
                  </w:tcMar>
                  <w:vAlign w:val="center"/>
                </w:tcPr>
                <w:p>
                  <w:pPr>
                    <w:bidi w:val="0"/>
                    <w:jc w:val="center"/>
                    <w:rPr>
                      <w:rFonts w:hint="default" w:eastAsia="宋体"/>
                      <w:color w:val="auto"/>
                      <w:lang w:val="en-US" w:eastAsia="zh-CN"/>
                    </w:rPr>
                  </w:pPr>
                  <w:r>
                    <w:rPr>
                      <w:rFonts w:hint="eastAsia"/>
                      <w:color w:val="auto"/>
                      <w:lang w:val="en-US" w:eastAsia="zh-CN"/>
                    </w:rPr>
                    <w:t>不合格产品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widowControl/>
                    <w:spacing w:line="320" w:lineRule="exact"/>
                    <w:ind w:firstLine="420" w:firstLineChars="200"/>
                    <w:jc w:val="center"/>
                    <w:rPr>
                      <w:color w:val="auto"/>
                      <w:szCs w:val="21"/>
                    </w:rPr>
                  </w:pPr>
                </w:p>
              </w:tc>
              <w:tc>
                <w:tcPr>
                  <w:tcW w:w="1936" w:type="pct"/>
                  <w:tcMar>
                    <w:left w:w="28" w:type="dxa"/>
                    <w:right w:w="28" w:type="dxa"/>
                  </w:tcMar>
                  <w:vAlign w:val="center"/>
                </w:tcPr>
                <w:p>
                  <w:pPr>
                    <w:bidi w:val="0"/>
                    <w:jc w:val="center"/>
                    <w:rPr>
                      <w:rFonts w:hint="eastAsia" w:eastAsia="宋体"/>
                      <w:color w:val="auto"/>
                      <w:lang w:eastAsia="zh-CN"/>
                    </w:rPr>
                  </w:pPr>
                  <w:r>
                    <w:rPr>
                      <w:rFonts w:hint="eastAsia"/>
                      <w:color w:val="auto"/>
                      <w:lang w:val="en-US" w:eastAsia="zh-CN"/>
                    </w:rPr>
                    <w:t>过滤棉</w:t>
                  </w:r>
                </w:p>
              </w:tc>
              <w:tc>
                <w:tcPr>
                  <w:tcW w:w="2558" w:type="pct"/>
                  <w:tcMar>
                    <w:left w:w="28" w:type="dxa"/>
                    <w:right w:w="28" w:type="dxa"/>
                  </w:tcMar>
                  <w:vAlign w:val="center"/>
                </w:tcPr>
                <w:p>
                  <w:pPr>
                    <w:bidi w:val="0"/>
                    <w:jc w:val="center"/>
                    <w:rPr>
                      <w:rFonts w:hint="eastAsia" w:eastAsia="宋体"/>
                      <w:color w:val="auto"/>
                      <w:lang w:val="en-US" w:eastAsia="zh-CN"/>
                    </w:rPr>
                  </w:pPr>
                  <w:r>
                    <w:rPr>
                      <w:rFonts w:hint="eastAsia"/>
                      <w:color w:val="auto"/>
                      <w:lang w:val="en-US" w:eastAsia="zh-CN"/>
                    </w:rPr>
                    <w:t>废过滤棉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widowControl/>
                    <w:spacing w:line="320" w:lineRule="exact"/>
                    <w:ind w:firstLine="420" w:firstLineChars="200"/>
                    <w:jc w:val="center"/>
                    <w:rPr>
                      <w:color w:val="auto"/>
                      <w:szCs w:val="21"/>
                    </w:rPr>
                  </w:pPr>
                </w:p>
              </w:tc>
              <w:tc>
                <w:tcPr>
                  <w:tcW w:w="1936" w:type="pct"/>
                  <w:tcMar>
                    <w:left w:w="28" w:type="dxa"/>
                    <w:right w:w="28" w:type="dxa"/>
                  </w:tcMar>
                  <w:vAlign w:val="center"/>
                </w:tcPr>
                <w:p>
                  <w:pPr>
                    <w:wordWrap w:val="0"/>
                    <w:overflowPunct w:val="0"/>
                    <w:spacing w:line="240" w:lineRule="auto"/>
                    <w:ind w:firstLine="0" w:firstLineChars="0"/>
                    <w:jc w:val="center"/>
                    <w:rPr>
                      <w:rFonts w:hint="default" w:eastAsia="宋体"/>
                      <w:color w:val="auto"/>
                      <w:lang w:val="en-US" w:eastAsia="zh-CN"/>
                    </w:rPr>
                  </w:pPr>
                  <w:r>
                    <w:rPr>
                      <w:rFonts w:hint="eastAsia"/>
                      <w:color w:val="auto"/>
                      <w:sz w:val="21"/>
                      <w:szCs w:val="21"/>
                    </w:rPr>
                    <w:t>二级活性炭吸附箱</w:t>
                  </w:r>
                </w:p>
              </w:tc>
              <w:tc>
                <w:tcPr>
                  <w:tcW w:w="2558" w:type="pct"/>
                  <w:tcMar>
                    <w:left w:w="28" w:type="dxa"/>
                    <w:right w:w="28" w:type="dxa"/>
                  </w:tcMar>
                  <w:vAlign w:val="center"/>
                </w:tcPr>
                <w:p>
                  <w:pPr>
                    <w:wordWrap w:val="0"/>
                    <w:overflowPunct w:val="0"/>
                    <w:spacing w:line="240" w:lineRule="auto"/>
                    <w:ind w:firstLine="0" w:firstLineChars="0"/>
                    <w:jc w:val="center"/>
                    <w:rPr>
                      <w:color w:val="auto"/>
                    </w:rPr>
                  </w:pPr>
                  <w:r>
                    <w:rPr>
                      <w:rFonts w:hint="eastAsia"/>
                      <w:color w:val="auto"/>
                      <w:sz w:val="21"/>
                      <w:szCs w:val="21"/>
                    </w:rPr>
                    <w:t>废活性炭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widowControl/>
                    <w:spacing w:line="320" w:lineRule="exact"/>
                    <w:ind w:firstLine="420" w:firstLineChars="200"/>
                    <w:jc w:val="center"/>
                    <w:rPr>
                      <w:color w:val="auto"/>
                      <w:szCs w:val="21"/>
                    </w:rPr>
                  </w:pPr>
                </w:p>
              </w:tc>
              <w:tc>
                <w:tcPr>
                  <w:tcW w:w="1936" w:type="pct"/>
                  <w:tcMar>
                    <w:left w:w="28" w:type="dxa"/>
                    <w:right w:w="28" w:type="dxa"/>
                  </w:tcMar>
                  <w:vAlign w:val="center"/>
                </w:tcPr>
                <w:p>
                  <w:pPr>
                    <w:wordWrap w:val="0"/>
                    <w:overflowPunct w:val="0"/>
                    <w:spacing w:line="240" w:lineRule="auto"/>
                    <w:ind w:firstLine="0" w:firstLineChars="0"/>
                    <w:jc w:val="center"/>
                    <w:rPr>
                      <w:rFonts w:hint="eastAsia"/>
                      <w:color w:val="auto"/>
                      <w:lang w:val="en-US" w:eastAsia="zh-CN"/>
                    </w:rPr>
                  </w:pPr>
                  <w:r>
                    <w:rPr>
                      <w:rFonts w:hint="eastAsia"/>
                      <w:color w:val="auto"/>
                      <w:sz w:val="21"/>
                      <w:szCs w:val="21"/>
                    </w:rPr>
                    <w:t>设备保养及检修</w:t>
                  </w:r>
                </w:p>
              </w:tc>
              <w:tc>
                <w:tcPr>
                  <w:tcW w:w="2558" w:type="pct"/>
                  <w:tcMar>
                    <w:left w:w="28" w:type="dxa"/>
                    <w:right w:w="28" w:type="dxa"/>
                  </w:tcMar>
                  <w:vAlign w:val="center"/>
                </w:tcPr>
                <w:p>
                  <w:pPr>
                    <w:wordWrap w:val="0"/>
                    <w:overflowPunct w:val="0"/>
                    <w:spacing w:line="240" w:lineRule="auto"/>
                    <w:ind w:firstLine="0" w:firstLineChars="0"/>
                    <w:jc w:val="center"/>
                    <w:rPr>
                      <w:color w:val="auto"/>
                    </w:rPr>
                  </w:pPr>
                  <w:r>
                    <w:rPr>
                      <w:rFonts w:hint="eastAsia"/>
                      <w:color w:val="auto"/>
                      <w:sz w:val="21"/>
                      <w:szCs w:val="21"/>
                    </w:rPr>
                    <w:t>废润滑油、废油桶、废含油抹布/手套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5" w:type="pct"/>
                  <w:vMerge w:val="continue"/>
                  <w:tcMar>
                    <w:left w:w="28" w:type="dxa"/>
                    <w:right w:w="28" w:type="dxa"/>
                  </w:tcMar>
                  <w:vAlign w:val="center"/>
                </w:tcPr>
                <w:p>
                  <w:pPr>
                    <w:widowControl/>
                    <w:spacing w:line="320" w:lineRule="exact"/>
                    <w:ind w:firstLine="420" w:firstLineChars="200"/>
                    <w:jc w:val="center"/>
                    <w:rPr>
                      <w:color w:val="auto"/>
                      <w:szCs w:val="21"/>
                    </w:rPr>
                  </w:pPr>
                </w:p>
              </w:tc>
              <w:tc>
                <w:tcPr>
                  <w:tcW w:w="1936" w:type="pct"/>
                  <w:tcMar>
                    <w:left w:w="28" w:type="dxa"/>
                    <w:right w:w="28" w:type="dxa"/>
                  </w:tcMar>
                  <w:vAlign w:val="center"/>
                </w:tcPr>
                <w:p>
                  <w:pPr>
                    <w:wordWrap w:val="0"/>
                    <w:overflowPunct w:val="0"/>
                    <w:spacing w:line="240" w:lineRule="auto"/>
                    <w:ind w:firstLine="0" w:firstLineChars="0"/>
                    <w:jc w:val="center"/>
                    <w:rPr>
                      <w:rFonts w:hint="eastAsia"/>
                      <w:color w:val="auto"/>
                      <w:lang w:val="en-US" w:eastAsia="zh-CN"/>
                    </w:rPr>
                  </w:pPr>
                  <w:r>
                    <w:rPr>
                      <w:rFonts w:hint="eastAsia"/>
                      <w:color w:val="auto"/>
                      <w:sz w:val="21"/>
                      <w:szCs w:val="21"/>
                    </w:rPr>
                    <w:t>职工办公生活</w:t>
                  </w:r>
                </w:p>
              </w:tc>
              <w:tc>
                <w:tcPr>
                  <w:tcW w:w="2558" w:type="pct"/>
                  <w:tcMar>
                    <w:left w:w="28" w:type="dxa"/>
                    <w:right w:w="28" w:type="dxa"/>
                  </w:tcMar>
                  <w:vAlign w:val="center"/>
                </w:tcPr>
                <w:p>
                  <w:pPr>
                    <w:wordWrap w:val="0"/>
                    <w:overflowPunct w:val="0"/>
                    <w:spacing w:line="240" w:lineRule="auto"/>
                    <w:ind w:firstLine="0" w:firstLineChars="0"/>
                    <w:jc w:val="center"/>
                    <w:rPr>
                      <w:color w:val="auto"/>
                    </w:rPr>
                  </w:pPr>
                  <w:r>
                    <w:rPr>
                      <w:color w:val="auto"/>
                      <w:sz w:val="21"/>
                      <w:szCs w:val="21"/>
                    </w:rPr>
                    <w:t>生活垃圾</w:t>
                  </w:r>
                </w:p>
              </w:tc>
            </w:tr>
          </w:tbl>
          <w:p>
            <w:pPr>
              <w:adjustRightInd w:val="0"/>
              <w:snapToGrid w:val="0"/>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84" w:hRule="atLeast"/>
          <w:jc w:val="center"/>
        </w:trPr>
        <w:tc>
          <w:tcPr>
            <w:tcW w:w="496" w:type="dxa"/>
            <w:vAlign w:val="center"/>
          </w:tcPr>
          <w:p>
            <w:pPr>
              <w:pStyle w:val="25"/>
              <w:adjustRightInd w:val="0"/>
              <w:snapToGrid w:val="0"/>
              <w:spacing w:before="0" w:beforeAutospacing="0" w:after="0" w:afterAutospacing="0"/>
              <w:jc w:val="center"/>
              <w:rPr>
                <w:rFonts w:cs="宋体"/>
                <w:b/>
                <w:color w:val="auto"/>
                <w:szCs w:val="24"/>
              </w:rPr>
            </w:pPr>
            <w:r>
              <w:rPr>
                <w:rFonts w:hint="eastAsia" w:cs="宋体"/>
                <w:b/>
                <w:bCs/>
                <w:color w:val="auto"/>
                <w:kern w:val="2"/>
                <w:szCs w:val="24"/>
              </w:rPr>
              <w:t>与项目有关的原有环境污染问题</w:t>
            </w:r>
          </w:p>
        </w:tc>
        <w:tc>
          <w:tcPr>
            <w:tcW w:w="84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32"/>
                <w:lang w:val="en-US" w:eastAsia="zh-CN"/>
              </w:rPr>
            </w:pPr>
            <w:r>
              <w:rPr>
                <w:rFonts w:hint="eastAsia"/>
                <w:color w:val="auto"/>
                <w:sz w:val="24"/>
                <w:szCs w:val="32"/>
                <w:lang w:val="en-US" w:eastAsia="zh-CN"/>
              </w:rPr>
              <w:t>本项目租赁</w:t>
            </w:r>
            <w:r>
              <w:rPr>
                <w:rFonts w:hint="eastAsia"/>
                <w:color w:val="auto"/>
                <w:sz w:val="24"/>
              </w:rPr>
              <w:t>陕西省西咸新区泾河新城</w:t>
            </w:r>
            <w:r>
              <w:rPr>
                <w:rFonts w:hint="eastAsia"/>
                <w:color w:val="auto"/>
                <w:sz w:val="24"/>
                <w:lang w:val="en-US" w:eastAsia="zh-CN"/>
              </w:rPr>
              <w:t>秦创原（泾河）智造创新产业园一期16号厂房，秦创原（泾河）智造创新产业园由</w:t>
            </w:r>
            <w:r>
              <w:rPr>
                <w:rFonts w:hint="eastAsia"/>
                <w:color w:val="auto"/>
                <w:sz w:val="24"/>
                <w:szCs w:val="32"/>
                <w:lang w:val="en-US" w:eastAsia="zh-CN"/>
              </w:rPr>
              <w:t>西咸新区泾河新城产业园区发展有限公司于2020年9月17日办理建设项目环境影响登记表，备案号为：20206199000500000101。根据现场勘查，目前租赁的1层和4层厂房空置，尚未进行设备安装。</w:t>
            </w:r>
          </w:p>
          <w:p>
            <w:pPr>
              <w:spacing w:line="360" w:lineRule="auto"/>
              <w:ind w:firstLine="420" w:firstLineChars="200"/>
              <w:rPr>
                <w:rFonts w:ascii="宋体" w:hAnsi="宋体"/>
                <w:bCs/>
                <w:color w:val="auto"/>
                <w:szCs w:val="21"/>
              </w:rPr>
            </w:pPr>
          </w:p>
        </w:tc>
      </w:tr>
    </w:tbl>
    <w:p>
      <w:pPr>
        <w:pStyle w:val="25"/>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line="14" w:lineRule="auto"/>
        <w:jc w:val="center"/>
        <w:outlineLvl w:val="0"/>
        <w:rPr>
          <w:rFonts w:ascii="黑体" w:hAnsi="黑体" w:eastAsia="黑体"/>
          <w:snapToGrid w:val="0"/>
          <w:color w:val="auto"/>
          <w:sz w:val="30"/>
          <w:szCs w:val="30"/>
        </w:rPr>
      </w:pPr>
    </w:p>
    <w:p>
      <w:pPr>
        <w:pStyle w:val="25"/>
        <w:numPr>
          <w:ilvl w:val="0"/>
          <w:numId w:val="12"/>
        </w:numPr>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区域环境质量现状、环境保护目标及评价标准</w:t>
      </w:r>
    </w:p>
    <w:tbl>
      <w:tblPr>
        <w:tblStyle w:val="29"/>
        <w:tblW w:w="90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4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525" w:type="dxa"/>
            <w:vAlign w:val="center"/>
          </w:tcPr>
          <w:p>
            <w:pPr>
              <w:adjustRightInd w:val="0"/>
              <w:snapToGrid w:val="0"/>
              <w:jc w:val="center"/>
              <w:rPr>
                <w:b/>
                <w:bCs/>
                <w:color w:val="auto"/>
                <w:kern w:val="0"/>
                <w:sz w:val="24"/>
              </w:rPr>
            </w:pPr>
            <w:r>
              <w:rPr>
                <w:b/>
                <w:bCs/>
                <w:color w:val="auto"/>
                <w:kern w:val="0"/>
                <w:sz w:val="24"/>
              </w:rPr>
              <w:t>区域</w:t>
            </w:r>
          </w:p>
          <w:p>
            <w:pPr>
              <w:adjustRightInd w:val="0"/>
              <w:snapToGrid w:val="0"/>
              <w:jc w:val="center"/>
              <w:rPr>
                <w:b/>
                <w:bCs/>
                <w:color w:val="auto"/>
                <w:kern w:val="0"/>
                <w:sz w:val="24"/>
              </w:rPr>
            </w:pPr>
            <w:r>
              <w:rPr>
                <w:b/>
                <w:bCs/>
                <w:color w:val="auto"/>
                <w:kern w:val="0"/>
                <w:sz w:val="24"/>
              </w:rPr>
              <w:t>环境</w:t>
            </w:r>
          </w:p>
          <w:p>
            <w:pPr>
              <w:adjustRightInd w:val="0"/>
              <w:snapToGrid w:val="0"/>
              <w:jc w:val="center"/>
              <w:rPr>
                <w:b/>
                <w:bCs/>
                <w:color w:val="auto"/>
                <w:kern w:val="0"/>
                <w:sz w:val="24"/>
              </w:rPr>
            </w:pPr>
            <w:r>
              <w:rPr>
                <w:b/>
                <w:bCs/>
                <w:color w:val="auto"/>
                <w:kern w:val="0"/>
                <w:sz w:val="24"/>
              </w:rPr>
              <w:t>质量</w:t>
            </w:r>
          </w:p>
          <w:p>
            <w:pPr>
              <w:adjustRightInd w:val="0"/>
              <w:snapToGrid w:val="0"/>
              <w:jc w:val="center"/>
              <w:rPr>
                <w:b/>
                <w:bCs/>
                <w:color w:val="auto"/>
                <w:kern w:val="0"/>
                <w:sz w:val="24"/>
              </w:rPr>
            </w:pPr>
            <w:r>
              <w:rPr>
                <w:b/>
                <w:bCs/>
                <w:color w:val="auto"/>
                <w:kern w:val="0"/>
                <w:sz w:val="24"/>
              </w:rPr>
              <w:t>现状</w:t>
            </w:r>
          </w:p>
        </w:tc>
        <w:tc>
          <w:tcPr>
            <w:tcW w:w="8491" w:type="dxa"/>
            <w:vAlign w:val="center"/>
          </w:tcPr>
          <w:p>
            <w:pPr>
              <w:spacing w:line="360" w:lineRule="auto"/>
              <w:ind w:firstLine="482" w:firstLineChars="200"/>
              <w:rPr>
                <w:b/>
                <w:color w:val="auto"/>
                <w:sz w:val="24"/>
              </w:rPr>
            </w:pPr>
            <w:r>
              <w:rPr>
                <w:b/>
                <w:color w:val="auto"/>
                <w:sz w:val="24"/>
              </w:rPr>
              <w:t>1、</w:t>
            </w:r>
            <w:r>
              <w:rPr>
                <w:b/>
                <w:bCs/>
                <w:color w:val="auto"/>
                <w:sz w:val="24"/>
              </w:rPr>
              <w:t>大气环境</w:t>
            </w:r>
            <w:r>
              <w:rPr>
                <w:b/>
                <w:color w:val="auto"/>
                <w:kern w:val="0"/>
                <w:sz w:val="24"/>
              </w:rPr>
              <w:t>质量现状</w:t>
            </w:r>
          </w:p>
          <w:p>
            <w:pPr>
              <w:spacing w:line="360" w:lineRule="auto"/>
              <w:ind w:firstLine="470" w:firstLineChars="196"/>
              <w:rPr>
                <w:color w:val="auto"/>
                <w:kern w:val="0"/>
                <w:sz w:val="24"/>
                <w:lang w:val="zh-CN"/>
              </w:rPr>
            </w:pPr>
            <w:r>
              <w:rPr>
                <w:color w:val="auto"/>
                <w:kern w:val="0"/>
                <w:sz w:val="24"/>
                <w:lang w:val="zh-CN"/>
              </w:rPr>
              <w:t>⑴常规污染物现状</w:t>
            </w:r>
          </w:p>
          <w:p>
            <w:pPr>
              <w:widowControl/>
              <w:spacing w:line="360" w:lineRule="auto"/>
              <w:ind w:firstLine="480" w:firstLineChars="200"/>
              <w:rPr>
                <w:color w:val="auto"/>
                <w:kern w:val="0"/>
                <w:sz w:val="24"/>
              </w:rPr>
            </w:pPr>
            <w:r>
              <w:rPr>
                <w:color w:val="auto"/>
                <w:kern w:val="0"/>
                <w:sz w:val="24"/>
              </w:rPr>
              <w:t>本项目评价区域内环境空气质量执行《环境空气质量标准》（GB3095-2012）中二级标准。本次区域环境空气质量现状调查引用陕西省生态环境厅《环保快报（20</w:t>
            </w:r>
            <w:r>
              <w:rPr>
                <w:rFonts w:hint="eastAsia"/>
                <w:color w:val="auto"/>
                <w:kern w:val="0"/>
                <w:sz w:val="24"/>
                <w:lang w:val="en-US" w:eastAsia="zh-CN"/>
              </w:rPr>
              <w:t>24-3</w:t>
            </w:r>
            <w:r>
              <w:rPr>
                <w:color w:val="auto"/>
                <w:kern w:val="0"/>
                <w:sz w:val="24"/>
              </w:rPr>
              <w:t>）》</w:t>
            </w:r>
            <w:r>
              <w:rPr>
                <w:rFonts w:hint="eastAsia"/>
                <w:color w:val="auto"/>
                <w:kern w:val="0"/>
                <w:sz w:val="24"/>
                <w:lang w:eastAsia="zh-CN"/>
              </w:rPr>
              <w:t>（</w:t>
            </w:r>
            <w:r>
              <w:rPr>
                <w:rFonts w:hint="eastAsia"/>
                <w:color w:val="auto"/>
                <w:kern w:val="0"/>
                <w:sz w:val="24"/>
                <w:lang w:val="en-US" w:eastAsia="zh-CN"/>
              </w:rPr>
              <w:t>2024年1月19日</w:t>
            </w:r>
            <w:r>
              <w:rPr>
                <w:rFonts w:hint="eastAsia"/>
                <w:color w:val="auto"/>
                <w:kern w:val="0"/>
                <w:sz w:val="24"/>
                <w:lang w:eastAsia="zh-CN"/>
              </w:rPr>
              <w:t>）</w:t>
            </w:r>
            <w:r>
              <w:rPr>
                <w:color w:val="auto"/>
                <w:kern w:val="0"/>
                <w:sz w:val="24"/>
              </w:rPr>
              <w:t>“202</w:t>
            </w:r>
            <w:r>
              <w:rPr>
                <w:rFonts w:hint="eastAsia"/>
                <w:color w:val="auto"/>
                <w:kern w:val="0"/>
                <w:sz w:val="24"/>
                <w:lang w:val="en-US" w:eastAsia="zh-CN"/>
              </w:rPr>
              <w:t>3</w:t>
            </w:r>
            <w:r>
              <w:rPr>
                <w:color w:val="auto"/>
                <w:kern w:val="0"/>
                <w:sz w:val="24"/>
              </w:rPr>
              <w:t>年12月及1～12月全省环境空气质量现状”中西咸新区环境空气质量数据进行评价，评价因子主要有</w:t>
            </w:r>
            <w:r>
              <w:rPr>
                <w:color w:val="auto"/>
                <w:sz w:val="24"/>
              </w:rPr>
              <w:t>SO</w:t>
            </w:r>
            <w:r>
              <w:rPr>
                <w:color w:val="auto"/>
                <w:sz w:val="24"/>
                <w:vertAlign w:val="subscript"/>
              </w:rPr>
              <w:t>2</w:t>
            </w:r>
            <w:r>
              <w:rPr>
                <w:color w:val="auto"/>
                <w:sz w:val="24"/>
              </w:rPr>
              <w:t>、NO</w:t>
            </w:r>
            <w:r>
              <w:rPr>
                <w:color w:val="auto"/>
                <w:sz w:val="24"/>
                <w:vertAlign w:val="subscript"/>
              </w:rPr>
              <w:t>2</w:t>
            </w:r>
            <w:r>
              <w:rPr>
                <w:color w:val="auto"/>
                <w:sz w:val="24"/>
              </w:rPr>
              <w:t>、PM</w:t>
            </w:r>
            <w:r>
              <w:rPr>
                <w:color w:val="auto"/>
                <w:sz w:val="24"/>
                <w:vertAlign w:val="subscript"/>
              </w:rPr>
              <w:t>10</w:t>
            </w:r>
            <w:r>
              <w:rPr>
                <w:color w:val="auto"/>
                <w:sz w:val="24"/>
              </w:rPr>
              <w:t>、PM</w:t>
            </w:r>
            <w:r>
              <w:rPr>
                <w:color w:val="auto"/>
                <w:sz w:val="24"/>
                <w:vertAlign w:val="subscript"/>
              </w:rPr>
              <w:t>2.5</w:t>
            </w:r>
            <w:r>
              <w:rPr>
                <w:color w:val="auto"/>
                <w:sz w:val="24"/>
              </w:rPr>
              <w:t>、CO、O</w:t>
            </w:r>
            <w:r>
              <w:rPr>
                <w:color w:val="auto"/>
                <w:sz w:val="24"/>
                <w:vertAlign w:val="subscript"/>
              </w:rPr>
              <w:t>3</w:t>
            </w:r>
            <w:r>
              <w:rPr>
                <w:color w:val="auto"/>
                <w:sz w:val="24"/>
              </w:rPr>
              <w:t>六项指标</w:t>
            </w:r>
            <w:r>
              <w:rPr>
                <w:color w:val="auto"/>
                <w:kern w:val="0"/>
                <w:sz w:val="24"/>
              </w:rPr>
              <w:t>，项目所在区域西咸新区环境质量现状见表3-1。</w:t>
            </w:r>
          </w:p>
          <w:p>
            <w:pPr>
              <w:widowControl/>
              <w:jc w:val="center"/>
              <w:rPr>
                <w:b/>
                <w:bCs/>
                <w:color w:val="auto"/>
                <w:szCs w:val="21"/>
              </w:rPr>
            </w:pPr>
            <w:r>
              <w:rPr>
                <w:b/>
                <w:bCs/>
                <w:color w:val="auto"/>
                <w:szCs w:val="21"/>
              </w:rPr>
              <w:t>表3-1  基本污染物环境质量现状</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75"/>
              <w:gridCol w:w="824"/>
              <w:gridCol w:w="2068"/>
              <w:gridCol w:w="1296"/>
              <w:gridCol w:w="1296"/>
              <w:gridCol w:w="1232"/>
              <w:gridCol w:w="78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468" w:type="pct"/>
                  <w:vMerge w:val="restart"/>
                  <w:vAlign w:val="center"/>
                </w:tcPr>
                <w:p>
                  <w:pPr>
                    <w:pStyle w:val="83"/>
                    <w:spacing w:before="0" w:after="0"/>
                    <w:ind w:firstLine="0" w:firstLineChars="0"/>
                    <w:rPr>
                      <w:color w:val="auto"/>
                      <w:szCs w:val="21"/>
                    </w:rPr>
                  </w:pPr>
                  <w:r>
                    <w:rPr>
                      <w:color w:val="auto"/>
                      <w:szCs w:val="21"/>
                      <w:lang w:eastAsia="zh-CN"/>
                    </w:rPr>
                    <w:t>监测</w:t>
                  </w:r>
                </w:p>
                <w:p>
                  <w:pPr>
                    <w:pStyle w:val="83"/>
                    <w:spacing w:before="0" w:after="0"/>
                    <w:ind w:firstLine="0" w:firstLineChars="0"/>
                    <w:rPr>
                      <w:color w:val="auto"/>
                      <w:szCs w:val="21"/>
                    </w:rPr>
                  </w:pPr>
                  <w:r>
                    <w:rPr>
                      <w:color w:val="auto"/>
                      <w:szCs w:val="21"/>
                      <w:lang w:eastAsia="zh-CN"/>
                    </w:rPr>
                    <w:t>点位</w:t>
                  </w:r>
                </w:p>
              </w:tc>
              <w:tc>
                <w:tcPr>
                  <w:tcW w:w="498" w:type="pct"/>
                  <w:vMerge w:val="restart"/>
                  <w:vAlign w:val="center"/>
                </w:tcPr>
                <w:p>
                  <w:pPr>
                    <w:pStyle w:val="83"/>
                    <w:spacing w:before="0" w:after="0"/>
                    <w:ind w:firstLine="0" w:firstLineChars="0"/>
                    <w:rPr>
                      <w:color w:val="auto"/>
                      <w:szCs w:val="21"/>
                    </w:rPr>
                  </w:pPr>
                  <w:r>
                    <w:rPr>
                      <w:color w:val="auto"/>
                      <w:szCs w:val="21"/>
                      <w:lang w:eastAsia="zh-CN"/>
                    </w:rPr>
                    <w:t>污染物</w:t>
                  </w:r>
                </w:p>
              </w:tc>
              <w:tc>
                <w:tcPr>
                  <w:tcW w:w="1249" w:type="pct"/>
                  <w:vMerge w:val="restart"/>
                  <w:vAlign w:val="center"/>
                </w:tcPr>
                <w:p>
                  <w:pPr>
                    <w:pStyle w:val="83"/>
                    <w:spacing w:before="0" w:after="0"/>
                    <w:ind w:firstLine="0" w:firstLineChars="0"/>
                    <w:rPr>
                      <w:color w:val="auto"/>
                      <w:szCs w:val="21"/>
                    </w:rPr>
                  </w:pPr>
                  <w:r>
                    <w:rPr>
                      <w:color w:val="auto"/>
                      <w:szCs w:val="21"/>
                      <w:lang w:eastAsia="zh-CN"/>
                    </w:rPr>
                    <w:t>年评价指标</w:t>
                  </w:r>
                </w:p>
              </w:tc>
              <w:tc>
                <w:tcPr>
                  <w:tcW w:w="783" w:type="pct"/>
                  <w:vMerge w:val="restart"/>
                  <w:vAlign w:val="center"/>
                </w:tcPr>
                <w:p>
                  <w:pPr>
                    <w:pStyle w:val="83"/>
                    <w:spacing w:before="0" w:after="0"/>
                    <w:ind w:firstLine="0" w:firstLineChars="0"/>
                    <w:rPr>
                      <w:color w:val="auto"/>
                      <w:szCs w:val="21"/>
                    </w:rPr>
                  </w:pPr>
                  <w:r>
                    <w:rPr>
                      <w:color w:val="auto"/>
                      <w:szCs w:val="21"/>
                      <w:lang w:eastAsia="zh-CN"/>
                    </w:rPr>
                    <w:t>评价标准（µg/m</w:t>
                  </w:r>
                  <w:r>
                    <w:rPr>
                      <w:color w:val="auto"/>
                      <w:szCs w:val="21"/>
                      <w:vertAlign w:val="superscript"/>
                      <w:lang w:eastAsia="zh-CN"/>
                    </w:rPr>
                    <w:t>3</w:t>
                  </w:r>
                  <w:r>
                    <w:rPr>
                      <w:color w:val="auto"/>
                      <w:szCs w:val="21"/>
                      <w:lang w:eastAsia="zh-CN"/>
                    </w:rPr>
                    <w:t>）</w:t>
                  </w:r>
                </w:p>
              </w:tc>
              <w:tc>
                <w:tcPr>
                  <w:tcW w:w="783" w:type="pct"/>
                  <w:vMerge w:val="restart"/>
                  <w:vAlign w:val="center"/>
                </w:tcPr>
                <w:p>
                  <w:pPr>
                    <w:pStyle w:val="83"/>
                    <w:spacing w:before="0" w:after="0"/>
                    <w:ind w:firstLine="0" w:firstLineChars="0"/>
                    <w:rPr>
                      <w:color w:val="auto"/>
                      <w:szCs w:val="21"/>
                    </w:rPr>
                  </w:pPr>
                  <w:r>
                    <w:rPr>
                      <w:color w:val="auto"/>
                      <w:szCs w:val="21"/>
                      <w:lang w:eastAsia="zh-CN"/>
                    </w:rPr>
                    <w:t>现状浓度（µg/m</w:t>
                  </w:r>
                  <w:r>
                    <w:rPr>
                      <w:color w:val="auto"/>
                      <w:szCs w:val="21"/>
                      <w:vertAlign w:val="superscript"/>
                      <w:lang w:eastAsia="zh-CN"/>
                    </w:rPr>
                    <w:t>3</w:t>
                  </w:r>
                  <w:r>
                    <w:rPr>
                      <w:color w:val="auto"/>
                      <w:szCs w:val="21"/>
                      <w:lang w:eastAsia="zh-CN"/>
                    </w:rPr>
                    <w:t>）</w:t>
                  </w:r>
                </w:p>
              </w:tc>
              <w:tc>
                <w:tcPr>
                  <w:tcW w:w="744" w:type="pct"/>
                  <w:vMerge w:val="restart"/>
                  <w:vAlign w:val="center"/>
                </w:tcPr>
                <w:p>
                  <w:pPr>
                    <w:pStyle w:val="83"/>
                    <w:spacing w:before="0" w:after="0"/>
                    <w:ind w:firstLine="0" w:firstLineChars="0"/>
                    <w:rPr>
                      <w:color w:val="auto"/>
                      <w:szCs w:val="21"/>
                    </w:rPr>
                  </w:pPr>
                  <w:r>
                    <w:rPr>
                      <w:color w:val="auto"/>
                      <w:szCs w:val="21"/>
                      <w:lang w:eastAsia="zh-CN"/>
                    </w:rPr>
                    <w:t>最大浓度占标率/%</w:t>
                  </w:r>
                </w:p>
              </w:tc>
              <w:tc>
                <w:tcPr>
                  <w:tcW w:w="471" w:type="pct"/>
                  <w:vMerge w:val="restart"/>
                  <w:vAlign w:val="center"/>
                </w:tcPr>
                <w:p>
                  <w:pPr>
                    <w:pStyle w:val="83"/>
                    <w:spacing w:before="0" w:after="0"/>
                    <w:ind w:firstLine="0" w:firstLineChars="0"/>
                    <w:rPr>
                      <w:color w:val="auto"/>
                      <w:szCs w:val="21"/>
                    </w:rPr>
                  </w:pPr>
                  <w:r>
                    <w:rPr>
                      <w:color w:val="auto"/>
                      <w:szCs w:val="21"/>
                      <w:lang w:eastAsia="zh-CN"/>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68" w:type="pct"/>
                  <w:vMerge w:val="continue"/>
                  <w:vAlign w:val="center"/>
                </w:tcPr>
                <w:p>
                  <w:pPr>
                    <w:pStyle w:val="83"/>
                    <w:spacing w:before="0" w:after="0"/>
                    <w:ind w:firstLine="0" w:firstLineChars="0"/>
                    <w:rPr>
                      <w:color w:val="auto"/>
                      <w:szCs w:val="21"/>
                    </w:rPr>
                  </w:pPr>
                </w:p>
              </w:tc>
              <w:tc>
                <w:tcPr>
                  <w:tcW w:w="498" w:type="pct"/>
                  <w:vMerge w:val="continue"/>
                  <w:vAlign w:val="center"/>
                </w:tcPr>
                <w:p>
                  <w:pPr>
                    <w:pStyle w:val="83"/>
                    <w:spacing w:before="0" w:after="0"/>
                    <w:ind w:firstLine="0" w:firstLineChars="0"/>
                    <w:rPr>
                      <w:color w:val="auto"/>
                      <w:szCs w:val="21"/>
                    </w:rPr>
                  </w:pPr>
                </w:p>
              </w:tc>
              <w:tc>
                <w:tcPr>
                  <w:tcW w:w="1249" w:type="pct"/>
                  <w:vMerge w:val="continue"/>
                  <w:vAlign w:val="center"/>
                </w:tcPr>
                <w:p>
                  <w:pPr>
                    <w:pStyle w:val="83"/>
                    <w:spacing w:before="0" w:after="0"/>
                    <w:ind w:firstLine="0" w:firstLineChars="0"/>
                    <w:rPr>
                      <w:color w:val="auto"/>
                      <w:szCs w:val="21"/>
                    </w:rPr>
                  </w:pPr>
                </w:p>
              </w:tc>
              <w:tc>
                <w:tcPr>
                  <w:tcW w:w="783" w:type="pct"/>
                  <w:vMerge w:val="continue"/>
                  <w:vAlign w:val="center"/>
                </w:tcPr>
                <w:p>
                  <w:pPr>
                    <w:pStyle w:val="83"/>
                    <w:spacing w:before="0" w:after="0"/>
                    <w:ind w:firstLine="0" w:firstLineChars="0"/>
                    <w:rPr>
                      <w:color w:val="auto"/>
                      <w:szCs w:val="21"/>
                    </w:rPr>
                  </w:pPr>
                </w:p>
              </w:tc>
              <w:tc>
                <w:tcPr>
                  <w:tcW w:w="783" w:type="pct"/>
                  <w:vMerge w:val="continue"/>
                  <w:vAlign w:val="center"/>
                </w:tcPr>
                <w:p>
                  <w:pPr>
                    <w:pStyle w:val="83"/>
                    <w:spacing w:before="0" w:after="0"/>
                    <w:ind w:firstLine="0" w:firstLineChars="0"/>
                    <w:rPr>
                      <w:color w:val="auto"/>
                      <w:szCs w:val="21"/>
                    </w:rPr>
                  </w:pPr>
                </w:p>
              </w:tc>
              <w:tc>
                <w:tcPr>
                  <w:tcW w:w="744" w:type="pct"/>
                  <w:vMerge w:val="continue"/>
                  <w:vAlign w:val="center"/>
                </w:tcPr>
                <w:p>
                  <w:pPr>
                    <w:pStyle w:val="83"/>
                    <w:spacing w:before="0" w:after="0"/>
                    <w:ind w:firstLine="0" w:firstLineChars="0"/>
                    <w:rPr>
                      <w:color w:val="auto"/>
                      <w:szCs w:val="21"/>
                    </w:rPr>
                  </w:pPr>
                </w:p>
              </w:tc>
              <w:tc>
                <w:tcPr>
                  <w:tcW w:w="471" w:type="pct"/>
                  <w:vMerge w:val="continue"/>
                  <w:vAlign w:val="center"/>
                </w:tcPr>
                <w:p>
                  <w:pPr>
                    <w:pStyle w:val="83"/>
                    <w:spacing w:before="0" w:after="0"/>
                    <w:ind w:firstLine="0" w:firstLineChars="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restart"/>
                  <w:vAlign w:val="center"/>
                </w:tcPr>
                <w:p>
                  <w:pPr>
                    <w:pStyle w:val="83"/>
                    <w:spacing w:before="0" w:after="0"/>
                    <w:ind w:firstLine="0" w:firstLineChars="0"/>
                    <w:rPr>
                      <w:color w:val="auto"/>
                      <w:szCs w:val="21"/>
                      <w:lang w:val="en-US" w:eastAsia="zh-CN"/>
                    </w:rPr>
                  </w:pPr>
                  <w:r>
                    <w:rPr>
                      <w:color w:val="auto"/>
                      <w:szCs w:val="21"/>
                      <w:lang w:val="en-US" w:eastAsia="zh-CN"/>
                    </w:rPr>
                    <w:t>西咸新区</w:t>
                  </w:r>
                </w:p>
              </w:tc>
              <w:tc>
                <w:tcPr>
                  <w:tcW w:w="498" w:type="pct"/>
                  <w:vAlign w:val="center"/>
                </w:tcPr>
                <w:p>
                  <w:pPr>
                    <w:pStyle w:val="83"/>
                    <w:spacing w:before="0" w:after="0"/>
                    <w:ind w:firstLine="0" w:firstLineChars="0"/>
                    <w:rPr>
                      <w:color w:val="auto"/>
                      <w:szCs w:val="21"/>
                    </w:rPr>
                  </w:pPr>
                  <w:r>
                    <w:rPr>
                      <w:color w:val="auto"/>
                      <w:szCs w:val="21"/>
                      <w:lang w:eastAsia="zh-CN"/>
                    </w:rPr>
                    <w:t>SO</w:t>
                  </w:r>
                  <w:r>
                    <w:rPr>
                      <w:color w:val="auto"/>
                      <w:szCs w:val="21"/>
                      <w:vertAlign w:val="subscript"/>
                      <w:lang w:eastAsia="zh-CN"/>
                    </w:rPr>
                    <w:t>2</w:t>
                  </w:r>
                </w:p>
              </w:tc>
              <w:tc>
                <w:tcPr>
                  <w:tcW w:w="1249" w:type="pct"/>
                  <w:vAlign w:val="center"/>
                </w:tcPr>
                <w:p>
                  <w:pPr>
                    <w:pStyle w:val="83"/>
                    <w:spacing w:before="0" w:after="0"/>
                    <w:ind w:firstLine="0" w:firstLineChars="0"/>
                    <w:rPr>
                      <w:color w:val="auto"/>
                      <w:szCs w:val="21"/>
                      <w:lang w:eastAsia="zh-CN"/>
                    </w:rPr>
                  </w:pPr>
                  <w:r>
                    <w:rPr>
                      <w:color w:val="auto"/>
                      <w:szCs w:val="21"/>
                      <w:lang w:eastAsia="zh-CN"/>
                    </w:rPr>
                    <w:t>年平均质量浓度</w:t>
                  </w:r>
                </w:p>
              </w:tc>
              <w:tc>
                <w:tcPr>
                  <w:tcW w:w="783" w:type="pct"/>
                  <w:vAlign w:val="center"/>
                </w:tcPr>
                <w:p>
                  <w:pPr>
                    <w:pStyle w:val="83"/>
                    <w:spacing w:before="0" w:after="0"/>
                    <w:ind w:firstLine="0" w:firstLineChars="0"/>
                    <w:rPr>
                      <w:color w:val="auto"/>
                      <w:szCs w:val="21"/>
                    </w:rPr>
                  </w:pPr>
                  <w:r>
                    <w:rPr>
                      <w:color w:val="auto"/>
                      <w:szCs w:val="21"/>
                      <w:lang w:eastAsia="zh-CN"/>
                    </w:rPr>
                    <w:t>60</w:t>
                  </w:r>
                </w:p>
              </w:tc>
              <w:tc>
                <w:tcPr>
                  <w:tcW w:w="783" w:type="pct"/>
                  <w:vAlign w:val="center"/>
                </w:tcPr>
                <w:p>
                  <w:pPr>
                    <w:widowControl/>
                    <w:jc w:val="center"/>
                    <w:rPr>
                      <w:rFonts w:hint="eastAsia" w:eastAsia="宋体"/>
                      <w:color w:val="auto"/>
                      <w:szCs w:val="21"/>
                      <w:lang w:val="en-US" w:eastAsia="zh-CN"/>
                    </w:rPr>
                  </w:pPr>
                  <w:r>
                    <w:rPr>
                      <w:rFonts w:hint="eastAsia"/>
                      <w:color w:val="auto"/>
                      <w:szCs w:val="21"/>
                      <w:lang w:val="en-US" w:eastAsia="zh-CN"/>
                    </w:rPr>
                    <w:t>7</w:t>
                  </w:r>
                </w:p>
              </w:tc>
              <w:tc>
                <w:tcPr>
                  <w:tcW w:w="1191" w:type="dxa"/>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11.67</w:t>
                  </w:r>
                </w:p>
              </w:tc>
              <w:tc>
                <w:tcPr>
                  <w:tcW w:w="471" w:type="pct"/>
                  <w:vAlign w:val="center"/>
                </w:tcPr>
                <w:p>
                  <w:pPr>
                    <w:pStyle w:val="83"/>
                    <w:spacing w:before="0" w:after="0"/>
                    <w:ind w:firstLine="0" w:firstLineChars="0"/>
                    <w:rPr>
                      <w:color w:val="auto"/>
                      <w:szCs w:val="21"/>
                    </w:rPr>
                  </w:pPr>
                  <w:r>
                    <w:rPr>
                      <w:color w:val="auto"/>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continue"/>
                  <w:vAlign w:val="center"/>
                </w:tcPr>
                <w:p>
                  <w:pPr>
                    <w:pStyle w:val="83"/>
                    <w:spacing w:before="0" w:after="0"/>
                    <w:ind w:firstLine="0" w:firstLineChars="0"/>
                    <w:rPr>
                      <w:color w:val="auto"/>
                      <w:szCs w:val="21"/>
                    </w:rPr>
                  </w:pPr>
                </w:p>
              </w:tc>
              <w:tc>
                <w:tcPr>
                  <w:tcW w:w="498" w:type="pct"/>
                  <w:vAlign w:val="center"/>
                </w:tcPr>
                <w:p>
                  <w:pPr>
                    <w:pStyle w:val="83"/>
                    <w:spacing w:before="0" w:after="0"/>
                    <w:ind w:firstLine="0" w:firstLineChars="0"/>
                    <w:rPr>
                      <w:color w:val="auto"/>
                      <w:szCs w:val="21"/>
                    </w:rPr>
                  </w:pPr>
                  <w:r>
                    <w:rPr>
                      <w:color w:val="auto"/>
                      <w:szCs w:val="21"/>
                      <w:lang w:eastAsia="zh-CN"/>
                    </w:rPr>
                    <w:t>NO</w:t>
                  </w:r>
                  <w:r>
                    <w:rPr>
                      <w:color w:val="auto"/>
                      <w:szCs w:val="21"/>
                      <w:vertAlign w:val="subscript"/>
                      <w:lang w:eastAsia="zh-CN"/>
                    </w:rPr>
                    <w:t>2</w:t>
                  </w:r>
                </w:p>
              </w:tc>
              <w:tc>
                <w:tcPr>
                  <w:tcW w:w="1249" w:type="pct"/>
                  <w:vAlign w:val="center"/>
                </w:tcPr>
                <w:p>
                  <w:pPr>
                    <w:pStyle w:val="83"/>
                    <w:spacing w:before="0" w:after="0"/>
                    <w:ind w:firstLine="0" w:firstLineChars="0"/>
                    <w:rPr>
                      <w:color w:val="auto"/>
                      <w:szCs w:val="21"/>
                    </w:rPr>
                  </w:pPr>
                  <w:r>
                    <w:rPr>
                      <w:color w:val="auto"/>
                      <w:szCs w:val="21"/>
                      <w:lang w:eastAsia="zh-CN"/>
                    </w:rPr>
                    <w:t>年平均质量浓度</w:t>
                  </w:r>
                </w:p>
              </w:tc>
              <w:tc>
                <w:tcPr>
                  <w:tcW w:w="783" w:type="pct"/>
                  <w:vAlign w:val="center"/>
                </w:tcPr>
                <w:p>
                  <w:pPr>
                    <w:pStyle w:val="83"/>
                    <w:spacing w:before="0" w:after="0"/>
                    <w:ind w:firstLine="0" w:firstLineChars="0"/>
                    <w:rPr>
                      <w:color w:val="auto"/>
                      <w:szCs w:val="21"/>
                    </w:rPr>
                  </w:pPr>
                  <w:r>
                    <w:rPr>
                      <w:color w:val="auto"/>
                      <w:szCs w:val="21"/>
                      <w:lang w:eastAsia="zh-CN"/>
                    </w:rPr>
                    <w:t>40</w:t>
                  </w:r>
                </w:p>
              </w:tc>
              <w:tc>
                <w:tcPr>
                  <w:tcW w:w="783" w:type="pct"/>
                  <w:vAlign w:val="center"/>
                </w:tcPr>
                <w:p>
                  <w:pPr>
                    <w:widowControl/>
                    <w:jc w:val="center"/>
                    <w:rPr>
                      <w:rFonts w:hint="default" w:eastAsia="宋体"/>
                      <w:color w:val="auto"/>
                      <w:szCs w:val="21"/>
                      <w:lang w:val="en-US" w:eastAsia="zh-CN"/>
                    </w:rPr>
                  </w:pPr>
                  <w:r>
                    <w:rPr>
                      <w:rFonts w:hint="eastAsia"/>
                      <w:color w:val="auto"/>
                      <w:szCs w:val="21"/>
                      <w:lang w:val="en-US" w:eastAsia="zh-CN"/>
                    </w:rPr>
                    <w:t>37</w:t>
                  </w:r>
                </w:p>
              </w:tc>
              <w:tc>
                <w:tcPr>
                  <w:tcW w:w="119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92.50</w:t>
                  </w:r>
                </w:p>
              </w:tc>
              <w:tc>
                <w:tcPr>
                  <w:tcW w:w="471" w:type="pct"/>
                  <w:vAlign w:val="center"/>
                </w:tcPr>
                <w:p>
                  <w:pPr>
                    <w:pStyle w:val="83"/>
                    <w:spacing w:before="0" w:after="0"/>
                    <w:ind w:firstLine="0" w:firstLineChars="0"/>
                    <w:rPr>
                      <w:color w:val="auto"/>
                      <w:szCs w:val="21"/>
                    </w:rPr>
                  </w:pPr>
                  <w:r>
                    <w:rPr>
                      <w:color w:val="auto"/>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continue"/>
                  <w:vAlign w:val="center"/>
                </w:tcPr>
                <w:p>
                  <w:pPr>
                    <w:pStyle w:val="83"/>
                    <w:spacing w:before="0" w:after="0"/>
                    <w:ind w:firstLine="0" w:firstLineChars="0"/>
                    <w:rPr>
                      <w:color w:val="auto"/>
                      <w:szCs w:val="21"/>
                    </w:rPr>
                  </w:pPr>
                </w:p>
              </w:tc>
              <w:tc>
                <w:tcPr>
                  <w:tcW w:w="498" w:type="pct"/>
                  <w:vAlign w:val="center"/>
                </w:tcPr>
                <w:p>
                  <w:pPr>
                    <w:pStyle w:val="83"/>
                    <w:spacing w:before="0" w:after="0"/>
                    <w:ind w:firstLine="0" w:firstLineChars="0"/>
                    <w:rPr>
                      <w:color w:val="auto"/>
                      <w:szCs w:val="21"/>
                    </w:rPr>
                  </w:pPr>
                  <w:r>
                    <w:rPr>
                      <w:color w:val="auto"/>
                      <w:szCs w:val="21"/>
                      <w:lang w:eastAsia="zh-CN"/>
                    </w:rPr>
                    <w:t>PM</w:t>
                  </w:r>
                  <w:r>
                    <w:rPr>
                      <w:color w:val="auto"/>
                      <w:szCs w:val="21"/>
                      <w:vertAlign w:val="subscript"/>
                      <w:lang w:eastAsia="zh-CN"/>
                    </w:rPr>
                    <w:t>10</w:t>
                  </w:r>
                </w:p>
              </w:tc>
              <w:tc>
                <w:tcPr>
                  <w:tcW w:w="1249" w:type="pct"/>
                  <w:vAlign w:val="center"/>
                </w:tcPr>
                <w:p>
                  <w:pPr>
                    <w:pStyle w:val="83"/>
                    <w:spacing w:before="0" w:after="0"/>
                    <w:ind w:firstLine="0" w:firstLineChars="0"/>
                    <w:rPr>
                      <w:color w:val="auto"/>
                      <w:szCs w:val="21"/>
                    </w:rPr>
                  </w:pPr>
                  <w:r>
                    <w:rPr>
                      <w:color w:val="auto"/>
                      <w:szCs w:val="21"/>
                      <w:lang w:eastAsia="zh-CN"/>
                    </w:rPr>
                    <w:t>年平均质量浓度</w:t>
                  </w:r>
                </w:p>
              </w:tc>
              <w:tc>
                <w:tcPr>
                  <w:tcW w:w="783" w:type="pct"/>
                  <w:vAlign w:val="center"/>
                </w:tcPr>
                <w:p>
                  <w:pPr>
                    <w:pStyle w:val="83"/>
                    <w:spacing w:before="0" w:after="0"/>
                    <w:ind w:firstLine="0" w:firstLineChars="0"/>
                    <w:rPr>
                      <w:color w:val="auto"/>
                      <w:szCs w:val="21"/>
                    </w:rPr>
                  </w:pPr>
                  <w:r>
                    <w:rPr>
                      <w:color w:val="auto"/>
                      <w:szCs w:val="21"/>
                      <w:lang w:eastAsia="zh-CN"/>
                    </w:rPr>
                    <w:t>70</w:t>
                  </w:r>
                </w:p>
              </w:tc>
              <w:tc>
                <w:tcPr>
                  <w:tcW w:w="783" w:type="pct"/>
                  <w:vAlign w:val="center"/>
                </w:tcPr>
                <w:p>
                  <w:pPr>
                    <w:widowControl/>
                    <w:jc w:val="center"/>
                    <w:rPr>
                      <w:rFonts w:hint="default" w:eastAsia="宋体"/>
                      <w:color w:val="auto"/>
                      <w:szCs w:val="21"/>
                      <w:lang w:val="en-US" w:eastAsia="zh-CN"/>
                    </w:rPr>
                  </w:pPr>
                  <w:r>
                    <w:rPr>
                      <w:rFonts w:hint="eastAsia"/>
                      <w:color w:val="auto"/>
                      <w:szCs w:val="21"/>
                      <w:lang w:val="en-US" w:eastAsia="zh-CN"/>
                    </w:rPr>
                    <w:t>82</w:t>
                  </w:r>
                </w:p>
              </w:tc>
              <w:tc>
                <w:tcPr>
                  <w:tcW w:w="119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117.14</w:t>
                  </w:r>
                </w:p>
              </w:tc>
              <w:tc>
                <w:tcPr>
                  <w:tcW w:w="471" w:type="pct"/>
                  <w:vAlign w:val="center"/>
                </w:tcPr>
                <w:p>
                  <w:pPr>
                    <w:pStyle w:val="83"/>
                    <w:spacing w:before="0" w:after="0"/>
                    <w:ind w:firstLine="0" w:firstLineChars="0"/>
                    <w:rPr>
                      <w:color w:val="auto"/>
                      <w:szCs w:val="21"/>
                    </w:rPr>
                  </w:pPr>
                  <w:r>
                    <w:rPr>
                      <w:color w:val="auto"/>
                      <w:szCs w:val="21"/>
                      <w:lang w:val="en-US" w:eastAsia="zh-CN"/>
                    </w:rPr>
                    <w:t>超</w:t>
                  </w:r>
                  <w:r>
                    <w:rPr>
                      <w:color w:val="auto"/>
                      <w:szCs w:val="21"/>
                      <w:lang w:eastAsia="zh-CN"/>
                    </w:rPr>
                    <w:t>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continue"/>
                  <w:vAlign w:val="center"/>
                </w:tcPr>
                <w:p>
                  <w:pPr>
                    <w:pStyle w:val="83"/>
                    <w:spacing w:before="0" w:after="0"/>
                    <w:ind w:firstLine="0" w:firstLineChars="0"/>
                    <w:rPr>
                      <w:color w:val="auto"/>
                      <w:szCs w:val="21"/>
                    </w:rPr>
                  </w:pPr>
                </w:p>
              </w:tc>
              <w:tc>
                <w:tcPr>
                  <w:tcW w:w="498" w:type="pct"/>
                  <w:vAlign w:val="center"/>
                </w:tcPr>
                <w:p>
                  <w:pPr>
                    <w:pStyle w:val="83"/>
                    <w:spacing w:before="0" w:after="0"/>
                    <w:ind w:firstLine="0" w:firstLineChars="0"/>
                    <w:rPr>
                      <w:color w:val="auto"/>
                      <w:szCs w:val="21"/>
                    </w:rPr>
                  </w:pPr>
                  <w:r>
                    <w:rPr>
                      <w:color w:val="auto"/>
                      <w:szCs w:val="21"/>
                      <w:lang w:eastAsia="zh-CN"/>
                    </w:rPr>
                    <w:t>PM</w:t>
                  </w:r>
                  <w:r>
                    <w:rPr>
                      <w:color w:val="auto"/>
                      <w:szCs w:val="21"/>
                      <w:vertAlign w:val="subscript"/>
                      <w:lang w:eastAsia="zh-CN"/>
                    </w:rPr>
                    <w:t>2.5</w:t>
                  </w:r>
                </w:p>
              </w:tc>
              <w:tc>
                <w:tcPr>
                  <w:tcW w:w="1249" w:type="pct"/>
                  <w:vAlign w:val="center"/>
                </w:tcPr>
                <w:p>
                  <w:pPr>
                    <w:pStyle w:val="83"/>
                    <w:spacing w:before="0" w:after="0"/>
                    <w:ind w:firstLine="0" w:firstLineChars="0"/>
                    <w:rPr>
                      <w:color w:val="auto"/>
                      <w:szCs w:val="21"/>
                    </w:rPr>
                  </w:pPr>
                  <w:r>
                    <w:rPr>
                      <w:color w:val="auto"/>
                      <w:szCs w:val="21"/>
                      <w:lang w:eastAsia="zh-CN"/>
                    </w:rPr>
                    <w:t>年平均质量浓度</w:t>
                  </w:r>
                </w:p>
              </w:tc>
              <w:tc>
                <w:tcPr>
                  <w:tcW w:w="783" w:type="pct"/>
                  <w:vAlign w:val="center"/>
                </w:tcPr>
                <w:p>
                  <w:pPr>
                    <w:pStyle w:val="83"/>
                    <w:spacing w:before="0" w:after="0"/>
                    <w:ind w:firstLine="0" w:firstLineChars="0"/>
                    <w:rPr>
                      <w:color w:val="auto"/>
                      <w:szCs w:val="21"/>
                    </w:rPr>
                  </w:pPr>
                  <w:r>
                    <w:rPr>
                      <w:color w:val="auto"/>
                      <w:szCs w:val="21"/>
                      <w:lang w:eastAsia="zh-CN"/>
                    </w:rPr>
                    <w:t>35</w:t>
                  </w:r>
                </w:p>
              </w:tc>
              <w:tc>
                <w:tcPr>
                  <w:tcW w:w="783" w:type="pct"/>
                  <w:vAlign w:val="center"/>
                </w:tcPr>
                <w:p>
                  <w:pPr>
                    <w:widowControl/>
                    <w:jc w:val="center"/>
                    <w:rPr>
                      <w:rFonts w:hint="default" w:eastAsia="宋体"/>
                      <w:color w:val="auto"/>
                      <w:szCs w:val="21"/>
                      <w:lang w:val="en-US" w:eastAsia="zh-CN"/>
                    </w:rPr>
                  </w:pPr>
                  <w:r>
                    <w:rPr>
                      <w:rFonts w:hint="eastAsia"/>
                      <w:color w:val="auto"/>
                      <w:szCs w:val="21"/>
                      <w:lang w:val="en-US" w:eastAsia="zh-CN"/>
                    </w:rPr>
                    <w:t>48</w:t>
                  </w:r>
                </w:p>
              </w:tc>
              <w:tc>
                <w:tcPr>
                  <w:tcW w:w="119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137.14</w:t>
                  </w:r>
                </w:p>
              </w:tc>
              <w:tc>
                <w:tcPr>
                  <w:tcW w:w="471" w:type="pct"/>
                  <w:vAlign w:val="center"/>
                </w:tcPr>
                <w:p>
                  <w:pPr>
                    <w:pStyle w:val="83"/>
                    <w:spacing w:before="0" w:after="0"/>
                    <w:ind w:firstLine="0" w:firstLineChars="0"/>
                    <w:rPr>
                      <w:color w:val="auto"/>
                      <w:szCs w:val="21"/>
                    </w:rPr>
                  </w:pPr>
                  <w:r>
                    <w:rPr>
                      <w:color w:val="auto"/>
                      <w:szCs w:val="21"/>
                      <w:lang w:val="en-US" w:eastAsia="zh-CN"/>
                    </w:rPr>
                    <w:t>超</w:t>
                  </w:r>
                  <w:r>
                    <w:rPr>
                      <w:color w:val="auto"/>
                      <w:szCs w:val="21"/>
                      <w:lang w:eastAsia="zh-CN"/>
                    </w:rPr>
                    <w:t>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continue"/>
                  <w:vAlign w:val="center"/>
                </w:tcPr>
                <w:p>
                  <w:pPr>
                    <w:pStyle w:val="83"/>
                    <w:spacing w:before="0" w:after="0"/>
                    <w:ind w:firstLine="0" w:firstLineChars="0"/>
                    <w:rPr>
                      <w:color w:val="auto"/>
                      <w:szCs w:val="21"/>
                    </w:rPr>
                  </w:pPr>
                </w:p>
              </w:tc>
              <w:tc>
                <w:tcPr>
                  <w:tcW w:w="498" w:type="pct"/>
                  <w:vAlign w:val="center"/>
                </w:tcPr>
                <w:p>
                  <w:pPr>
                    <w:pStyle w:val="83"/>
                    <w:spacing w:before="0" w:after="0"/>
                    <w:ind w:firstLine="0" w:firstLineChars="0"/>
                    <w:rPr>
                      <w:color w:val="auto"/>
                      <w:szCs w:val="21"/>
                    </w:rPr>
                  </w:pPr>
                  <w:r>
                    <w:rPr>
                      <w:color w:val="auto"/>
                      <w:szCs w:val="21"/>
                      <w:lang w:eastAsia="zh-CN"/>
                    </w:rPr>
                    <w:t>CO</w:t>
                  </w:r>
                </w:p>
              </w:tc>
              <w:tc>
                <w:tcPr>
                  <w:tcW w:w="1249" w:type="pct"/>
                  <w:vAlign w:val="center"/>
                </w:tcPr>
                <w:p>
                  <w:pPr>
                    <w:pStyle w:val="83"/>
                    <w:spacing w:before="0" w:after="0"/>
                    <w:ind w:firstLine="0" w:firstLineChars="0"/>
                    <w:rPr>
                      <w:color w:val="auto"/>
                      <w:szCs w:val="21"/>
                    </w:rPr>
                  </w:pPr>
                  <w:r>
                    <w:rPr>
                      <w:color w:val="auto"/>
                      <w:szCs w:val="21"/>
                      <w:lang w:eastAsia="zh-CN"/>
                    </w:rPr>
                    <w:t>第95百分位数日平均质量浓度</w:t>
                  </w:r>
                </w:p>
              </w:tc>
              <w:tc>
                <w:tcPr>
                  <w:tcW w:w="783" w:type="pct"/>
                  <w:vAlign w:val="center"/>
                </w:tcPr>
                <w:p>
                  <w:pPr>
                    <w:pStyle w:val="83"/>
                    <w:spacing w:before="0" w:after="0"/>
                    <w:ind w:firstLine="0" w:firstLineChars="0"/>
                    <w:rPr>
                      <w:color w:val="auto"/>
                      <w:szCs w:val="21"/>
                    </w:rPr>
                  </w:pPr>
                  <w:r>
                    <w:rPr>
                      <w:color w:val="auto"/>
                      <w:szCs w:val="21"/>
                      <w:lang w:eastAsia="zh-CN"/>
                    </w:rPr>
                    <w:t>4000</w:t>
                  </w:r>
                </w:p>
              </w:tc>
              <w:tc>
                <w:tcPr>
                  <w:tcW w:w="783" w:type="pct"/>
                  <w:vAlign w:val="center"/>
                </w:tcPr>
                <w:p>
                  <w:pPr>
                    <w:widowControl/>
                    <w:jc w:val="center"/>
                    <w:rPr>
                      <w:rFonts w:hint="default" w:eastAsia="宋体"/>
                      <w:color w:val="auto"/>
                      <w:szCs w:val="21"/>
                      <w:lang w:val="en-US" w:eastAsia="zh-CN"/>
                    </w:rPr>
                  </w:pPr>
                  <w:r>
                    <w:rPr>
                      <w:rFonts w:hint="eastAsia"/>
                      <w:color w:val="auto"/>
                      <w:szCs w:val="21"/>
                      <w:lang w:val="en-US" w:eastAsia="zh-CN"/>
                    </w:rPr>
                    <w:t>1300</w:t>
                  </w:r>
                </w:p>
              </w:tc>
              <w:tc>
                <w:tcPr>
                  <w:tcW w:w="119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32.50</w:t>
                  </w:r>
                </w:p>
              </w:tc>
              <w:tc>
                <w:tcPr>
                  <w:tcW w:w="471" w:type="pct"/>
                  <w:vAlign w:val="center"/>
                </w:tcPr>
                <w:p>
                  <w:pPr>
                    <w:pStyle w:val="83"/>
                    <w:spacing w:before="0" w:after="0"/>
                    <w:ind w:firstLine="0" w:firstLineChars="0"/>
                    <w:rPr>
                      <w:color w:val="auto"/>
                      <w:szCs w:val="21"/>
                    </w:rPr>
                  </w:pPr>
                  <w:r>
                    <w:rPr>
                      <w:color w:val="auto"/>
                      <w:szCs w:val="21"/>
                      <w:lang w:eastAsia="zh-CN"/>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8" w:type="pct"/>
                  <w:vMerge w:val="continue"/>
                  <w:vAlign w:val="center"/>
                </w:tcPr>
                <w:p>
                  <w:pPr>
                    <w:pStyle w:val="83"/>
                    <w:spacing w:before="0" w:after="0"/>
                    <w:ind w:firstLine="0" w:firstLineChars="0"/>
                    <w:rPr>
                      <w:color w:val="auto"/>
                      <w:szCs w:val="21"/>
                    </w:rPr>
                  </w:pPr>
                </w:p>
              </w:tc>
              <w:tc>
                <w:tcPr>
                  <w:tcW w:w="498" w:type="pct"/>
                  <w:vAlign w:val="center"/>
                </w:tcPr>
                <w:p>
                  <w:pPr>
                    <w:pStyle w:val="83"/>
                    <w:spacing w:before="0" w:after="0"/>
                    <w:ind w:firstLine="0" w:firstLineChars="0"/>
                    <w:rPr>
                      <w:color w:val="auto"/>
                      <w:szCs w:val="21"/>
                    </w:rPr>
                  </w:pPr>
                  <w:r>
                    <w:rPr>
                      <w:color w:val="auto"/>
                      <w:szCs w:val="21"/>
                      <w:lang w:eastAsia="zh-CN"/>
                    </w:rPr>
                    <w:t>O</w:t>
                  </w:r>
                  <w:r>
                    <w:rPr>
                      <w:color w:val="auto"/>
                      <w:szCs w:val="21"/>
                      <w:vertAlign w:val="subscript"/>
                      <w:lang w:eastAsia="zh-CN"/>
                    </w:rPr>
                    <w:t>3</w:t>
                  </w:r>
                </w:p>
              </w:tc>
              <w:tc>
                <w:tcPr>
                  <w:tcW w:w="1249" w:type="pct"/>
                  <w:vAlign w:val="center"/>
                </w:tcPr>
                <w:p>
                  <w:pPr>
                    <w:pStyle w:val="83"/>
                    <w:spacing w:before="0" w:after="0"/>
                    <w:ind w:firstLine="0" w:firstLineChars="0"/>
                    <w:rPr>
                      <w:color w:val="auto"/>
                      <w:szCs w:val="21"/>
                    </w:rPr>
                  </w:pPr>
                  <w:r>
                    <w:rPr>
                      <w:color w:val="auto"/>
                      <w:szCs w:val="21"/>
                      <w:lang w:eastAsia="zh-CN"/>
                    </w:rPr>
                    <w:t>第90百分位数8h平均质量浓度</w:t>
                  </w:r>
                </w:p>
              </w:tc>
              <w:tc>
                <w:tcPr>
                  <w:tcW w:w="783" w:type="pct"/>
                  <w:vAlign w:val="center"/>
                </w:tcPr>
                <w:p>
                  <w:pPr>
                    <w:pStyle w:val="83"/>
                    <w:spacing w:before="0" w:after="0"/>
                    <w:ind w:firstLine="0" w:firstLineChars="0"/>
                    <w:rPr>
                      <w:color w:val="auto"/>
                      <w:szCs w:val="21"/>
                    </w:rPr>
                  </w:pPr>
                  <w:r>
                    <w:rPr>
                      <w:color w:val="auto"/>
                      <w:szCs w:val="21"/>
                      <w:lang w:eastAsia="zh-CN"/>
                    </w:rPr>
                    <w:t>160</w:t>
                  </w:r>
                </w:p>
              </w:tc>
              <w:tc>
                <w:tcPr>
                  <w:tcW w:w="783" w:type="pct"/>
                  <w:vAlign w:val="center"/>
                </w:tcPr>
                <w:p>
                  <w:pPr>
                    <w:widowControl/>
                    <w:jc w:val="center"/>
                    <w:rPr>
                      <w:rFonts w:hint="default" w:eastAsia="宋体"/>
                      <w:color w:val="auto"/>
                      <w:szCs w:val="21"/>
                      <w:lang w:val="en-US" w:eastAsia="zh-CN"/>
                    </w:rPr>
                  </w:pPr>
                  <w:r>
                    <w:rPr>
                      <w:rFonts w:hint="eastAsia"/>
                      <w:color w:val="auto"/>
                      <w:szCs w:val="21"/>
                      <w:lang w:val="en-US" w:eastAsia="zh-CN"/>
                    </w:rPr>
                    <w:t>163</w:t>
                  </w:r>
                </w:p>
              </w:tc>
              <w:tc>
                <w:tcPr>
                  <w:tcW w:w="1191"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101.88</w:t>
                  </w:r>
                </w:p>
              </w:tc>
              <w:tc>
                <w:tcPr>
                  <w:tcW w:w="471" w:type="pct"/>
                  <w:vAlign w:val="center"/>
                </w:tcPr>
                <w:p>
                  <w:pPr>
                    <w:pStyle w:val="83"/>
                    <w:spacing w:before="0" w:after="0"/>
                    <w:ind w:firstLine="0" w:firstLineChars="0"/>
                    <w:rPr>
                      <w:color w:val="auto"/>
                      <w:szCs w:val="21"/>
                    </w:rPr>
                  </w:pPr>
                  <w:r>
                    <w:rPr>
                      <w:color w:val="auto"/>
                      <w:szCs w:val="21"/>
                      <w:lang w:val="en-US" w:eastAsia="zh-CN"/>
                    </w:rPr>
                    <w:t>超</w:t>
                  </w:r>
                  <w:r>
                    <w:rPr>
                      <w:color w:val="auto"/>
                      <w:szCs w:val="21"/>
                      <w:lang w:eastAsia="zh-CN"/>
                    </w:rPr>
                    <w:t>标</w:t>
                  </w:r>
                </w:p>
              </w:tc>
            </w:tr>
          </w:tbl>
          <w:p>
            <w:pPr>
              <w:adjustRightInd w:val="0"/>
              <w:snapToGrid w:val="0"/>
              <w:spacing w:before="120" w:beforeLines="50" w:line="360" w:lineRule="auto"/>
              <w:ind w:firstLine="480" w:firstLineChars="200"/>
              <w:rPr>
                <w:color w:val="auto"/>
                <w:sz w:val="24"/>
              </w:rPr>
            </w:pPr>
            <w:r>
              <w:rPr>
                <w:color w:val="auto"/>
                <w:sz w:val="24"/>
              </w:rPr>
              <w:t>根据表3-1可知，项目所在区域NO</w:t>
            </w:r>
            <w:r>
              <w:rPr>
                <w:color w:val="auto"/>
                <w:sz w:val="24"/>
                <w:vertAlign w:val="subscript"/>
              </w:rPr>
              <w:t>2</w:t>
            </w:r>
            <w:r>
              <w:rPr>
                <w:color w:val="auto"/>
                <w:sz w:val="24"/>
              </w:rPr>
              <w:t>、SO</w:t>
            </w:r>
            <w:r>
              <w:rPr>
                <w:color w:val="auto"/>
                <w:sz w:val="24"/>
                <w:vertAlign w:val="subscript"/>
              </w:rPr>
              <w:t>2</w:t>
            </w:r>
            <w:r>
              <w:rPr>
                <w:color w:val="auto"/>
                <w:sz w:val="24"/>
              </w:rPr>
              <w:t>年平均质量浓度和CO第95百分位数日平均浓度满足《环境空气质量标准》（GB3095-2012）二级标准，PM</w:t>
            </w:r>
            <w:r>
              <w:rPr>
                <w:color w:val="auto"/>
                <w:sz w:val="24"/>
                <w:vertAlign w:val="subscript"/>
              </w:rPr>
              <w:t>10</w:t>
            </w:r>
            <w:r>
              <w:rPr>
                <w:color w:val="auto"/>
                <w:sz w:val="24"/>
              </w:rPr>
              <w:t>和PM</w:t>
            </w:r>
            <w:r>
              <w:rPr>
                <w:color w:val="auto"/>
                <w:sz w:val="24"/>
                <w:vertAlign w:val="subscript"/>
              </w:rPr>
              <w:t>2.5</w:t>
            </w:r>
            <w:r>
              <w:rPr>
                <w:color w:val="auto"/>
                <w:sz w:val="24"/>
              </w:rPr>
              <w:t>的年平均值、O</w:t>
            </w:r>
            <w:r>
              <w:rPr>
                <w:color w:val="auto"/>
                <w:sz w:val="24"/>
                <w:vertAlign w:val="subscript"/>
              </w:rPr>
              <w:t>3</w:t>
            </w:r>
            <w:r>
              <w:rPr>
                <w:color w:val="auto"/>
                <w:sz w:val="24"/>
              </w:rPr>
              <w:t>日最大8小时平均值的第90百分位数均超过《环境空气质量标准》（GB3095-2012）中二级标准</w:t>
            </w:r>
            <w:r>
              <w:rPr>
                <w:rFonts w:hint="eastAsia"/>
                <w:color w:val="auto"/>
                <w:sz w:val="24"/>
                <w:lang w:eastAsia="zh-CN"/>
              </w:rPr>
              <w:t>，</w:t>
            </w:r>
            <w:r>
              <w:rPr>
                <w:rFonts w:hint="eastAsia"/>
                <w:color w:val="auto"/>
                <w:sz w:val="24"/>
                <w:lang w:val="en-US" w:eastAsia="zh-CN"/>
              </w:rPr>
              <w:t>项目所在区域为非达标区</w:t>
            </w:r>
            <w:r>
              <w:rPr>
                <w:color w:val="auto"/>
                <w:sz w:val="24"/>
              </w:rPr>
              <w:t>。</w:t>
            </w:r>
          </w:p>
          <w:p>
            <w:pPr>
              <w:spacing w:line="360" w:lineRule="auto"/>
              <w:ind w:firstLine="480" w:firstLineChars="200"/>
              <w:rPr>
                <w:color w:val="auto"/>
                <w:sz w:val="24"/>
              </w:rPr>
            </w:pPr>
            <w:r>
              <w:rPr>
                <w:color w:val="auto"/>
                <w:sz w:val="24"/>
              </w:rPr>
              <w:t>（2）特征污染物环境质量现状</w:t>
            </w:r>
          </w:p>
          <w:p>
            <w:pPr>
              <w:spacing w:line="360" w:lineRule="auto"/>
              <w:ind w:firstLine="480" w:firstLineChars="200"/>
              <w:rPr>
                <w:color w:val="auto"/>
                <w:sz w:val="24"/>
              </w:rPr>
            </w:pPr>
            <w:r>
              <w:rPr>
                <w:color w:val="auto"/>
                <w:sz w:val="24"/>
              </w:rPr>
              <w:t>本次评价</w:t>
            </w:r>
            <w:r>
              <w:rPr>
                <w:rFonts w:hint="eastAsia"/>
                <w:color w:val="auto"/>
                <w:sz w:val="24"/>
              </w:rPr>
              <w:t>TSP引用《</w:t>
            </w:r>
            <w:r>
              <w:rPr>
                <w:color w:val="auto"/>
                <w:sz w:val="24"/>
              </w:rPr>
              <w:t>陕西兴龙人防工程设备有限公司人防门生产项目</w:t>
            </w:r>
            <w:r>
              <w:rPr>
                <w:rFonts w:hint="eastAsia"/>
                <w:color w:val="auto"/>
                <w:sz w:val="24"/>
              </w:rPr>
              <w:t>环境影响报告表》现状监测数据，监测时间</w:t>
            </w:r>
            <w:r>
              <w:rPr>
                <w:color w:val="auto"/>
                <w:sz w:val="24"/>
              </w:rPr>
              <w:t>2023年7月14日~2023年7月16日</w:t>
            </w:r>
            <w:r>
              <w:rPr>
                <w:rFonts w:hint="eastAsia"/>
                <w:color w:val="auto"/>
                <w:sz w:val="24"/>
              </w:rPr>
              <w:t>，监测点位位于本项目</w:t>
            </w:r>
            <w:r>
              <w:rPr>
                <w:rFonts w:hint="eastAsia"/>
                <w:color w:val="auto"/>
                <w:sz w:val="24"/>
                <w:lang w:val="en-US" w:eastAsia="zh-CN"/>
              </w:rPr>
              <w:t>西北侧590</w:t>
            </w:r>
            <w:r>
              <w:rPr>
                <w:rFonts w:hint="eastAsia"/>
                <w:color w:val="auto"/>
                <w:sz w:val="24"/>
              </w:rPr>
              <w:t>m</w:t>
            </w:r>
            <w:r>
              <w:rPr>
                <w:rFonts w:hint="eastAsia"/>
                <w:color w:val="auto"/>
                <w:sz w:val="24"/>
                <w:lang w:eastAsia="zh-CN"/>
              </w:rPr>
              <w:t>；</w:t>
            </w:r>
            <w:r>
              <w:rPr>
                <w:rFonts w:hint="eastAsia"/>
                <w:color w:val="auto"/>
                <w:sz w:val="24"/>
                <w:lang w:val="en-US" w:eastAsia="zh-CN"/>
              </w:rPr>
              <w:t>非甲烷总烃引用《西安市申华塑料制品有限公司年产300万个食用油PET塑料瓶加工制造项目监测报告》（PHJC-202203-ZH003）中非甲烷总烃现状监测数据，监测时间2022年3月15日~2022年3月17日，监测</w:t>
            </w:r>
            <w:r>
              <w:rPr>
                <w:rFonts w:hint="eastAsia"/>
                <w:color w:val="auto"/>
                <w:sz w:val="24"/>
              </w:rPr>
              <w:t>点位位于本项目</w:t>
            </w:r>
            <w:r>
              <w:rPr>
                <w:rFonts w:hint="eastAsia"/>
                <w:color w:val="auto"/>
                <w:sz w:val="24"/>
                <w:lang w:val="en-US" w:eastAsia="zh-CN"/>
              </w:rPr>
              <w:t>西北侧900</w:t>
            </w:r>
            <w:r>
              <w:rPr>
                <w:rFonts w:hint="eastAsia"/>
                <w:color w:val="auto"/>
                <w:sz w:val="24"/>
              </w:rPr>
              <w:t>m</w:t>
            </w:r>
            <w:r>
              <w:rPr>
                <w:rFonts w:hint="eastAsia"/>
                <w:color w:val="auto"/>
                <w:sz w:val="24"/>
                <w:lang w:eastAsia="zh-CN"/>
              </w:rPr>
              <w:t>。</w:t>
            </w:r>
            <w:r>
              <w:rPr>
                <w:color w:val="auto"/>
                <w:sz w:val="24"/>
              </w:rPr>
              <w:t>满足《建设项目环境影响报告表编制技术指南（污染类影响）》（试行）中“项目周边5km范围内近3年监测数据”的引用要求</w:t>
            </w:r>
            <w:r>
              <w:rPr>
                <w:rFonts w:hint="eastAsia"/>
                <w:color w:val="auto"/>
                <w:sz w:val="24"/>
              </w:rPr>
              <w:t>。</w:t>
            </w:r>
          </w:p>
          <w:p>
            <w:pPr>
              <w:autoSpaceDE w:val="0"/>
              <w:autoSpaceDN w:val="0"/>
              <w:adjustRightInd w:val="0"/>
              <w:jc w:val="center"/>
              <w:rPr>
                <w:b/>
                <w:color w:val="auto"/>
                <w:szCs w:val="21"/>
              </w:rPr>
            </w:pPr>
            <w:r>
              <w:rPr>
                <w:b/>
                <w:color w:val="auto"/>
                <w:szCs w:val="21"/>
              </w:rPr>
              <w:t>表3-2  项目其他污染物监测点位基本信息表</w:t>
            </w:r>
          </w:p>
          <w:tbl>
            <w:tblPr>
              <w:tblStyle w:val="29"/>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850"/>
              <w:gridCol w:w="825"/>
              <w:gridCol w:w="1038"/>
              <w:gridCol w:w="1995"/>
              <w:gridCol w:w="1080"/>
              <w:gridCol w:w="11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restart"/>
                  <w:vAlign w:val="center"/>
                </w:tcPr>
                <w:p>
                  <w:pPr>
                    <w:widowControl/>
                    <w:snapToGrid w:val="0"/>
                    <w:spacing w:before="24" w:beforeLines="10" w:after="24" w:afterLines="10"/>
                    <w:jc w:val="center"/>
                    <w:rPr>
                      <w:color w:val="auto"/>
                      <w:kern w:val="0"/>
                      <w:szCs w:val="21"/>
                    </w:rPr>
                  </w:pPr>
                  <w:r>
                    <w:rPr>
                      <w:color w:val="auto"/>
                      <w:kern w:val="0"/>
                      <w:szCs w:val="21"/>
                    </w:rPr>
                    <w:t>监测点名称</w:t>
                  </w:r>
                </w:p>
              </w:tc>
              <w:tc>
                <w:tcPr>
                  <w:tcW w:w="1675" w:type="dxa"/>
                  <w:gridSpan w:val="2"/>
                  <w:vAlign w:val="center"/>
                </w:tcPr>
                <w:p>
                  <w:pPr>
                    <w:widowControl/>
                    <w:snapToGrid w:val="0"/>
                    <w:spacing w:before="24" w:beforeLines="10" w:after="24" w:afterLines="10"/>
                    <w:jc w:val="center"/>
                    <w:rPr>
                      <w:color w:val="auto"/>
                      <w:kern w:val="0"/>
                      <w:szCs w:val="21"/>
                    </w:rPr>
                  </w:pPr>
                  <w:r>
                    <w:rPr>
                      <w:color w:val="auto"/>
                      <w:kern w:val="0"/>
                      <w:szCs w:val="21"/>
                    </w:rPr>
                    <w:t>监测点坐标</w:t>
                  </w:r>
                  <w:r>
                    <w:rPr>
                      <w:b/>
                      <w:color w:val="auto"/>
                      <w:kern w:val="0"/>
                      <w:szCs w:val="21"/>
                    </w:rPr>
                    <w:t>/°</w:t>
                  </w:r>
                </w:p>
              </w:tc>
              <w:tc>
                <w:tcPr>
                  <w:tcW w:w="1038" w:type="dxa"/>
                  <w:vMerge w:val="restart"/>
                  <w:vAlign w:val="center"/>
                </w:tcPr>
                <w:p>
                  <w:pPr>
                    <w:widowControl/>
                    <w:snapToGrid w:val="0"/>
                    <w:spacing w:before="24" w:beforeLines="10" w:after="24" w:afterLines="10"/>
                    <w:jc w:val="center"/>
                    <w:rPr>
                      <w:color w:val="auto"/>
                      <w:kern w:val="0"/>
                      <w:szCs w:val="21"/>
                    </w:rPr>
                  </w:pPr>
                  <w:r>
                    <w:rPr>
                      <w:color w:val="auto"/>
                      <w:kern w:val="0"/>
                      <w:szCs w:val="21"/>
                    </w:rPr>
                    <w:t>监测因子</w:t>
                  </w:r>
                </w:p>
              </w:tc>
              <w:tc>
                <w:tcPr>
                  <w:tcW w:w="1995" w:type="dxa"/>
                  <w:vMerge w:val="restart"/>
                  <w:vAlign w:val="center"/>
                </w:tcPr>
                <w:p>
                  <w:pPr>
                    <w:widowControl/>
                    <w:snapToGrid w:val="0"/>
                    <w:spacing w:before="24" w:beforeLines="10" w:after="24" w:afterLines="10"/>
                    <w:jc w:val="center"/>
                    <w:rPr>
                      <w:color w:val="auto"/>
                      <w:kern w:val="0"/>
                      <w:szCs w:val="21"/>
                    </w:rPr>
                  </w:pPr>
                  <w:r>
                    <w:rPr>
                      <w:color w:val="auto"/>
                      <w:kern w:val="0"/>
                      <w:szCs w:val="21"/>
                    </w:rPr>
                    <w:t>检测时段</w:t>
                  </w:r>
                </w:p>
              </w:tc>
              <w:tc>
                <w:tcPr>
                  <w:tcW w:w="1080" w:type="dxa"/>
                  <w:vMerge w:val="restart"/>
                  <w:vAlign w:val="center"/>
                </w:tcPr>
                <w:p>
                  <w:pPr>
                    <w:widowControl/>
                    <w:snapToGrid w:val="0"/>
                    <w:spacing w:before="24" w:beforeLines="10" w:after="24" w:afterLines="10"/>
                    <w:jc w:val="center"/>
                    <w:rPr>
                      <w:color w:val="auto"/>
                      <w:kern w:val="0"/>
                      <w:szCs w:val="21"/>
                    </w:rPr>
                  </w:pPr>
                  <w:r>
                    <w:rPr>
                      <w:color w:val="auto"/>
                      <w:kern w:val="0"/>
                      <w:szCs w:val="21"/>
                    </w:rPr>
                    <w:t>相对厂址</w:t>
                  </w:r>
                </w:p>
                <w:p>
                  <w:pPr>
                    <w:widowControl/>
                    <w:snapToGrid w:val="0"/>
                    <w:spacing w:before="24" w:beforeLines="10" w:after="24" w:afterLines="10"/>
                    <w:jc w:val="center"/>
                    <w:rPr>
                      <w:color w:val="auto"/>
                      <w:kern w:val="0"/>
                      <w:szCs w:val="21"/>
                    </w:rPr>
                  </w:pPr>
                  <w:r>
                    <w:rPr>
                      <w:color w:val="auto"/>
                      <w:kern w:val="0"/>
                      <w:szCs w:val="21"/>
                    </w:rPr>
                    <w:t>方位</w:t>
                  </w:r>
                </w:p>
              </w:tc>
              <w:tc>
                <w:tcPr>
                  <w:tcW w:w="1177" w:type="dxa"/>
                  <w:vMerge w:val="restart"/>
                  <w:vAlign w:val="center"/>
                </w:tcPr>
                <w:p>
                  <w:pPr>
                    <w:widowControl/>
                    <w:snapToGrid w:val="0"/>
                    <w:spacing w:before="24" w:beforeLines="10" w:after="24" w:afterLines="10"/>
                    <w:jc w:val="center"/>
                    <w:rPr>
                      <w:color w:val="auto"/>
                      <w:kern w:val="0"/>
                      <w:szCs w:val="21"/>
                    </w:rPr>
                  </w:pPr>
                  <w:r>
                    <w:rPr>
                      <w:color w:val="auto"/>
                      <w:kern w:val="0"/>
                      <w:szCs w:val="21"/>
                    </w:rPr>
                    <w:t>相对厂界距离/m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Merge w:val="continue"/>
                  <w:vAlign w:val="center"/>
                </w:tcPr>
                <w:p>
                  <w:pPr>
                    <w:widowControl/>
                    <w:snapToGrid w:val="0"/>
                    <w:spacing w:before="24" w:beforeLines="10" w:after="24" w:afterLines="10"/>
                    <w:jc w:val="left"/>
                    <w:rPr>
                      <w:color w:val="auto"/>
                      <w:kern w:val="0"/>
                      <w:szCs w:val="21"/>
                    </w:rPr>
                  </w:pPr>
                </w:p>
              </w:tc>
              <w:tc>
                <w:tcPr>
                  <w:tcW w:w="850" w:type="dxa"/>
                  <w:vAlign w:val="center"/>
                </w:tcPr>
                <w:p>
                  <w:pPr>
                    <w:widowControl/>
                    <w:snapToGrid w:val="0"/>
                    <w:spacing w:before="24" w:beforeLines="10" w:after="24" w:afterLines="10"/>
                    <w:jc w:val="center"/>
                    <w:rPr>
                      <w:rFonts w:hint="eastAsia" w:eastAsia="宋体"/>
                      <w:color w:val="auto"/>
                      <w:kern w:val="0"/>
                      <w:szCs w:val="21"/>
                      <w:lang w:val="en-US" w:eastAsia="zh-CN"/>
                    </w:rPr>
                  </w:pPr>
                  <w:r>
                    <w:rPr>
                      <w:rFonts w:hint="eastAsia"/>
                      <w:color w:val="auto"/>
                      <w:kern w:val="0"/>
                      <w:szCs w:val="21"/>
                      <w:lang w:val="en-US" w:eastAsia="zh-CN"/>
                    </w:rPr>
                    <w:t>经度</w:t>
                  </w:r>
                </w:p>
              </w:tc>
              <w:tc>
                <w:tcPr>
                  <w:tcW w:w="825" w:type="dxa"/>
                  <w:vAlign w:val="center"/>
                </w:tcPr>
                <w:p>
                  <w:pPr>
                    <w:widowControl/>
                    <w:snapToGrid w:val="0"/>
                    <w:spacing w:before="24" w:beforeLines="10" w:after="24" w:afterLines="10"/>
                    <w:jc w:val="center"/>
                    <w:rPr>
                      <w:rFonts w:hint="eastAsia" w:eastAsia="宋体"/>
                      <w:color w:val="auto"/>
                      <w:kern w:val="0"/>
                      <w:szCs w:val="21"/>
                      <w:lang w:val="en-US" w:eastAsia="zh-CN"/>
                    </w:rPr>
                  </w:pPr>
                  <w:r>
                    <w:rPr>
                      <w:rFonts w:hint="eastAsia"/>
                      <w:color w:val="auto"/>
                      <w:kern w:val="0"/>
                      <w:szCs w:val="21"/>
                      <w:lang w:val="en-US" w:eastAsia="zh-CN"/>
                    </w:rPr>
                    <w:t>纬度</w:t>
                  </w:r>
                </w:p>
              </w:tc>
              <w:tc>
                <w:tcPr>
                  <w:tcW w:w="1038" w:type="dxa"/>
                  <w:vMerge w:val="continue"/>
                  <w:vAlign w:val="center"/>
                </w:tcPr>
                <w:p>
                  <w:pPr>
                    <w:widowControl/>
                    <w:snapToGrid w:val="0"/>
                    <w:spacing w:before="24" w:beforeLines="10" w:after="24" w:afterLines="10"/>
                    <w:jc w:val="left"/>
                    <w:rPr>
                      <w:color w:val="auto"/>
                      <w:kern w:val="0"/>
                      <w:szCs w:val="21"/>
                    </w:rPr>
                  </w:pPr>
                </w:p>
              </w:tc>
              <w:tc>
                <w:tcPr>
                  <w:tcW w:w="1995" w:type="dxa"/>
                  <w:vMerge w:val="continue"/>
                  <w:vAlign w:val="center"/>
                </w:tcPr>
                <w:p>
                  <w:pPr>
                    <w:widowControl/>
                    <w:snapToGrid w:val="0"/>
                    <w:spacing w:before="24" w:beforeLines="10" w:after="24" w:afterLines="10"/>
                    <w:jc w:val="left"/>
                    <w:rPr>
                      <w:color w:val="auto"/>
                      <w:kern w:val="0"/>
                      <w:szCs w:val="21"/>
                    </w:rPr>
                  </w:pPr>
                </w:p>
              </w:tc>
              <w:tc>
                <w:tcPr>
                  <w:tcW w:w="1080" w:type="dxa"/>
                  <w:vMerge w:val="continue"/>
                  <w:vAlign w:val="center"/>
                </w:tcPr>
                <w:p>
                  <w:pPr>
                    <w:widowControl/>
                    <w:snapToGrid w:val="0"/>
                    <w:spacing w:before="24" w:beforeLines="10" w:after="24" w:afterLines="10"/>
                    <w:jc w:val="left"/>
                    <w:rPr>
                      <w:color w:val="auto"/>
                      <w:kern w:val="0"/>
                      <w:szCs w:val="21"/>
                    </w:rPr>
                  </w:pPr>
                </w:p>
              </w:tc>
              <w:tc>
                <w:tcPr>
                  <w:tcW w:w="1177" w:type="dxa"/>
                  <w:vMerge w:val="continue"/>
                  <w:vAlign w:val="center"/>
                </w:tcPr>
                <w:p>
                  <w:pPr>
                    <w:widowControl/>
                    <w:snapToGrid w:val="0"/>
                    <w:spacing w:before="24" w:beforeLines="10" w:after="24" w:afterLines="10"/>
                    <w:jc w:val="left"/>
                    <w:rPr>
                      <w:color w:val="auto"/>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Borders>
                    <w:right w:val="single" w:color="auto" w:sz="4" w:space="0"/>
                  </w:tcBorders>
                  <w:vAlign w:val="center"/>
                </w:tcPr>
                <w:p>
                  <w:pPr>
                    <w:widowControl/>
                    <w:snapToGrid w:val="0"/>
                    <w:spacing w:before="24" w:beforeLines="10" w:after="24" w:afterLines="10"/>
                    <w:jc w:val="center"/>
                    <w:rPr>
                      <w:color w:val="auto"/>
                      <w:kern w:val="0"/>
                      <w:szCs w:val="21"/>
                    </w:rPr>
                  </w:pPr>
                  <w:r>
                    <w:rPr>
                      <w:color w:val="auto"/>
                      <w:kern w:val="0"/>
                      <w:szCs w:val="21"/>
                    </w:rPr>
                    <w:t>1#厂区西南侧</w:t>
                  </w:r>
                </w:p>
              </w:tc>
              <w:tc>
                <w:tcPr>
                  <w:tcW w:w="850" w:type="dxa"/>
                  <w:tcBorders>
                    <w:left w:val="single" w:color="auto" w:sz="4" w:space="0"/>
                  </w:tcBorders>
                  <w:vAlign w:val="center"/>
                </w:tcPr>
                <w:p>
                  <w:pPr>
                    <w:widowControl/>
                    <w:snapToGrid w:val="0"/>
                    <w:spacing w:before="24" w:beforeLines="10" w:after="24" w:afterLines="10"/>
                    <w:jc w:val="center"/>
                    <w:rPr>
                      <w:color w:val="auto"/>
                      <w:kern w:val="0"/>
                      <w:szCs w:val="21"/>
                    </w:rPr>
                  </w:pPr>
                  <w:r>
                    <w:rPr>
                      <w:rFonts w:hint="eastAsia"/>
                      <w:color w:val="auto"/>
                      <w:kern w:val="0"/>
                      <w:szCs w:val="21"/>
                    </w:rPr>
                    <w:t>108.949774</w:t>
                  </w:r>
                </w:p>
              </w:tc>
              <w:tc>
                <w:tcPr>
                  <w:tcW w:w="825" w:type="dxa"/>
                  <w:vAlign w:val="center"/>
                </w:tcPr>
                <w:p>
                  <w:pPr>
                    <w:widowControl/>
                    <w:snapToGrid w:val="0"/>
                    <w:spacing w:before="24" w:beforeLines="10" w:after="24" w:afterLines="10"/>
                    <w:jc w:val="center"/>
                    <w:rPr>
                      <w:color w:val="auto"/>
                      <w:kern w:val="0"/>
                      <w:szCs w:val="21"/>
                    </w:rPr>
                  </w:pPr>
                  <w:r>
                    <w:rPr>
                      <w:rFonts w:hint="eastAsia"/>
                      <w:color w:val="auto"/>
                      <w:kern w:val="0"/>
                      <w:szCs w:val="21"/>
                    </w:rPr>
                    <w:t>34.539792</w:t>
                  </w:r>
                </w:p>
              </w:tc>
              <w:tc>
                <w:tcPr>
                  <w:tcW w:w="1038" w:type="dxa"/>
                  <w:vAlign w:val="center"/>
                </w:tcPr>
                <w:p>
                  <w:pPr>
                    <w:widowControl/>
                    <w:snapToGrid w:val="0"/>
                    <w:spacing w:before="24" w:beforeLines="10" w:after="24" w:afterLines="10"/>
                    <w:jc w:val="center"/>
                    <w:rPr>
                      <w:rFonts w:hint="eastAsia" w:eastAsia="宋体"/>
                      <w:color w:val="auto"/>
                      <w:kern w:val="0"/>
                      <w:szCs w:val="21"/>
                      <w:lang w:eastAsia="zh-CN"/>
                    </w:rPr>
                  </w:pPr>
                  <w:r>
                    <w:rPr>
                      <w:rFonts w:hint="eastAsia"/>
                      <w:color w:val="auto"/>
                      <w:szCs w:val="21"/>
                      <w:lang w:val="en-US" w:eastAsia="zh-CN"/>
                    </w:rPr>
                    <w:t>非甲烷总烃</w:t>
                  </w:r>
                </w:p>
              </w:tc>
              <w:tc>
                <w:tcPr>
                  <w:tcW w:w="1995" w:type="dxa"/>
                  <w:vAlign w:val="center"/>
                </w:tcPr>
                <w:p>
                  <w:pPr>
                    <w:widowControl/>
                    <w:snapToGrid w:val="0"/>
                    <w:spacing w:before="24" w:beforeLines="10" w:after="24" w:afterLines="10"/>
                    <w:jc w:val="center"/>
                    <w:rPr>
                      <w:color w:val="auto"/>
                      <w:kern w:val="0"/>
                      <w:szCs w:val="21"/>
                    </w:rPr>
                  </w:pPr>
                  <w:r>
                    <w:rPr>
                      <w:color w:val="auto"/>
                      <w:kern w:val="0"/>
                      <w:szCs w:val="21"/>
                    </w:rPr>
                    <w:t>202</w:t>
                  </w:r>
                  <w:r>
                    <w:rPr>
                      <w:rFonts w:hint="eastAsia"/>
                      <w:color w:val="auto"/>
                      <w:kern w:val="0"/>
                      <w:szCs w:val="21"/>
                      <w:lang w:val="en-US" w:eastAsia="zh-CN"/>
                    </w:rPr>
                    <w:t>2</w:t>
                  </w:r>
                  <w:r>
                    <w:rPr>
                      <w:color w:val="auto"/>
                      <w:kern w:val="0"/>
                      <w:szCs w:val="21"/>
                    </w:rPr>
                    <w:t>年</w:t>
                  </w:r>
                  <w:r>
                    <w:rPr>
                      <w:rFonts w:hint="eastAsia"/>
                      <w:color w:val="auto"/>
                      <w:kern w:val="0"/>
                      <w:szCs w:val="21"/>
                      <w:lang w:val="en-US" w:eastAsia="zh-CN"/>
                    </w:rPr>
                    <w:t>3</w:t>
                  </w:r>
                  <w:r>
                    <w:rPr>
                      <w:color w:val="auto"/>
                      <w:kern w:val="0"/>
                      <w:szCs w:val="21"/>
                    </w:rPr>
                    <w:t>月</w:t>
                  </w:r>
                  <w:r>
                    <w:rPr>
                      <w:rFonts w:hint="eastAsia"/>
                      <w:color w:val="auto"/>
                      <w:kern w:val="0"/>
                      <w:szCs w:val="21"/>
                      <w:lang w:val="en-US" w:eastAsia="zh-CN"/>
                    </w:rPr>
                    <w:t>15</w:t>
                  </w:r>
                  <w:r>
                    <w:rPr>
                      <w:color w:val="auto"/>
                      <w:kern w:val="0"/>
                      <w:szCs w:val="21"/>
                    </w:rPr>
                    <w:t>日~202</w:t>
                  </w:r>
                  <w:r>
                    <w:rPr>
                      <w:rFonts w:hint="eastAsia"/>
                      <w:color w:val="auto"/>
                      <w:kern w:val="0"/>
                      <w:szCs w:val="21"/>
                      <w:lang w:val="en-US" w:eastAsia="zh-CN"/>
                    </w:rPr>
                    <w:t>2</w:t>
                  </w:r>
                  <w:r>
                    <w:rPr>
                      <w:color w:val="auto"/>
                      <w:kern w:val="0"/>
                      <w:szCs w:val="21"/>
                    </w:rPr>
                    <w:t>年</w:t>
                  </w:r>
                  <w:r>
                    <w:rPr>
                      <w:rFonts w:hint="eastAsia"/>
                      <w:color w:val="auto"/>
                      <w:kern w:val="0"/>
                      <w:szCs w:val="21"/>
                      <w:lang w:val="en-US" w:eastAsia="zh-CN"/>
                    </w:rPr>
                    <w:t>3</w:t>
                  </w:r>
                  <w:r>
                    <w:rPr>
                      <w:color w:val="auto"/>
                      <w:kern w:val="0"/>
                      <w:szCs w:val="21"/>
                    </w:rPr>
                    <w:t>月</w:t>
                  </w:r>
                  <w:r>
                    <w:rPr>
                      <w:rFonts w:hint="eastAsia"/>
                      <w:color w:val="auto"/>
                      <w:kern w:val="0"/>
                      <w:szCs w:val="21"/>
                      <w:lang w:val="en-US" w:eastAsia="zh-CN"/>
                    </w:rPr>
                    <w:t>17</w:t>
                  </w:r>
                  <w:r>
                    <w:rPr>
                      <w:color w:val="auto"/>
                      <w:kern w:val="0"/>
                      <w:szCs w:val="21"/>
                    </w:rPr>
                    <w:t>日</w:t>
                  </w:r>
                </w:p>
              </w:tc>
              <w:tc>
                <w:tcPr>
                  <w:tcW w:w="1080" w:type="dxa"/>
                  <w:vAlign w:val="center"/>
                </w:tcPr>
                <w:p>
                  <w:pPr>
                    <w:widowControl/>
                    <w:snapToGrid w:val="0"/>
                    <w:spacing w:before="24" w:beforeLines="10" w:after="24" w:afterLines="10"/>
                    <w:jc w:val="center"/>
                    <w:rPr>
                      <w:rFonts w:hint="default" w:eastAsia="宋体"/>
                      <w:color w:val="auto"/>
                      <w:kern w:val="0"/>
                      <w:szCs w:val="21"/>
                      <w:lang w:val="en-US" w:eastAsia="zh-CN"/>
                    </w:rPr>
                  </w:pPr>
                  <w:r>
                    <w:rPr>
                      <w:rFonts w:hint="eastAsia"/>
                      <w:color w:val="auto"/>
                      <w:kern w:val="0"/>
                      <w:szCs w:val="21"/>
                      <w:lang w:val="en-US" w:eastAsia="zh-CN"/>
                    </w:rPr>
                    <w:t>NW</w:t>
                  </w:r>
                </w:p>
              </w:tc>
              <w:tc>
                <w:tcPr>
                  <w:tcW w:w="1177" w:type="dxa"/>
                  <w:vAlign w:val="center"/>
                </w:tcPr>
                <w:p>
                  <w:pPr>
                    <w:widowControl/>
                    <w:snapToGrid w:val="0"/>
                    <w:spacing w:before="24" w:beforeLines="10" w:after="24" w:afterLines="10"/>
                    <w:jc w:val="center"/>
                    <w:rPr>
                      <w:rFonts w:hint="default" w:eastAsia="宋体"/>
                      <w:color w:val="auto"/>
                      <w:kern w:val="0"/>
                      <w:szCs w:val="21"/>
                      <w:lang w:val="en-US" w:eastAsia="zh-CN"/>
                    </w:rPr>
                  </w:pPr>
                  <w:r>
                    <w:rPr>
                      <w:rFonts w:hint="eastAsia"/>
                      <w:color w:val="auto"/>
                      <w:kern w:val="0"/>
                      <w:szCs w:val="21"/>
                      <w:lang w:val="en-US" w:eastAsia="zh-CN"/>
                    </w:rPr>
                    <w:t>590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vAlign w:val="center"/>
                </w:tcPr>
                <w:p>
                  <w:pPr>
                    <w:widowControl/>
                    <w:snapToGrid w:val="0"/>
                    <w:spacing w:before="24" w:beforeLines="10" w:after="24" w:afterLines="10"/>
                    <w:jc w:val="center"/>
                    <w:rPr>
                      <w:color w:val="auto"/>
                      <w:kern w:val="0"/>
                      <w:szCs w:val="21"/>
                    </w:rPr>
                  </w:pPr>
                  <w:r>
                    <w:rPr>
                      <w:color w:val="auto"/>
                      <w:kern w:val="0"/>
                      <w:szCs w:val="21"/>
                    </w:rPr>
                    <w:t>1#厂区西南侧</w:t>
                  </w:r>
                </w:p>
              </w:tc>
              <w:tc>
                <w:tcPr>
                  <w:tcW w:w="850" w:type="dxa"/>
                  <w:vAlign w:val="center"/>
                </w:tcPr>
                <w:p>
                  <w:pPr>
                    <w:widowControl/>
                    <w:snapToGrid w:val="0"/>
                    <w:spacing w:before="24" w:beforeLines="10" w:after="24" w:afterLines="10"/>
                    <w:jc w:val="center"/>
                    <w:rPr>
                      <w:color w:val="auto"/>
                      <w:kern w:val="0"/>
                      <w:szCs w:val="21"/>
                    </w:rPr>
                  </w:pPr>
                  <w:r>
                    <w:rPr>
                      <w:rFonts w:hint="eastAsia"/>
                      <w:color w:val="auto"/>
                      <w:kern w:val="0"/>
                      <w:szCs w:val="21"/>
                    </w:rPr>
                    <w:t>108.952167</w:t>
                  </w:r>
                </w:p>
              </w:tc>
              <w:tc>
                <w:tcPr>
                  <w:tcW w:w="825" w:type="dxa"/>
                  <w:vAlign w:val="center"/>
                </w:tcPr>
                <w:p>
                  <w:pPr>
                    <w:widowControl/>
                    <w:snapToGrid w:val="0"/>
                    <w:spacing w:before="24" w:beforeLines="10" w:after="24" w:afterLines="10"/>
                    <w:jc w:val="center"/>
                    <w:rPr>
                      <w:color w:val="auto"/>
                      <w:kern w:val="0"/>
                      <w:szCs w:val="21"/>
                    </w:rPr>
                  </w:pPr>
                  <w:r>
                    <w:rPr>
                      <w:rFonts w:hint="eastAsia"/>
                      <w:color w:val="auto"/>
                      <w:kern w:val="0"/>
                      <w:szCs w:val="21"/>
                    </w:rPr>
                    <w:t>34.537017</w:t>
                  </w:r>
                </w:p>
              </w:tc>
              <w:tc>
                <w:tcPr>
                  <w:tcW w:w="1038" w:type="dxa"/>
                  <w:vAlign w:val="center"/>
                </w:tcPr>
                <w:p>
                  <w:pPr>
                    <w:widowControl/>
                    <w:snapToGrid w:val="0"/>
                    <w:spacing w:before="24" w:beforeLines="10" w:after="24" w:afterLines="10"/>
                    <w:jc w:val="center"/>
                    <w:rPr>
                      <w:color w:val="auto"/>
                      <w:kern w:val="0"/>
                      <w:szCs w:val="21"/>
                    </w:rPr>
                  </w:pPr>
                  <w:r>
                    <w:rPr>
                      <w:rFonts w:hint="eastAsia"/>
                      <w:color w:val="auto"/>
                      <w:szCs w:val="21"/>
                    </w:rPr>
                    <w:t>TSP</w:t>
                  </w:r>
                </w:p>
              </w:tc>
              <w:tc>
                <w:tcPr>
                  <w:tcW w:w="1995" w:type="dxa"/>
                  <w:vAlign w:val="center"/>
                </w:tcPr>
                <w:p>
                  <w:pPr>
                    <w:widowControl/>
                    <w:snapToGrid w:val="0"/>
                    <w:spacing w:before="24" w:beforeLines="10" w:after="24" w:afterLines="10"/>
                    <w:jc w:val="center"/>
                    <w:rPr>
                      <w:color w:val="auto"/>
                      <w:kern w:val="0"/>
                      <w:szCs w:val="21"/>
                    </w:rPr>
                  </w:pPr>
                  <w:r>
                    <w:rPr>
                      <w:color w:val="auto"/>
                      <w:kern w:val="0"/>
                      <w:szCs w:val="21"/>
                    </w:rPr>
                    <w:t>2023年7月14日~2023年7月16日</w:t>
                  </w:r>
                </w:p>
              </w:tc>
              <w:tc>
                <w:tcPr>
                  <w:tcW w:w="1080" w:type="dxa"/>
                  <w:vAlign w:val="center"/>
                </w:tcPr>
                <w:p>
                  <w:pPr>
                    <w:widowControl/>
                    <w:snapToGrid w:val="0"/>
                    <w:spacing w:before="24" w:beforeLines="10" w:after="24" w:afterLines="10"/>
                    <w:jc w:val="center"/>
                    <w:rPr>
                      <w:rFonts w:hint="default" w:eastAsia="宋体"/>
                      <w:color w:val="auto"/>
                      <w:kern w:val="0"/>
                      <w:szCs w:val="21"/>
                      <w:lang w:val="en-US" w:eastAsia="zh-CN"/>
                    </w:rPr>
                  </w:pPr>
                  <w:r>
                    <w:rPr>
                      <w:rFonts w:hint="eastAsia"/>
                      <w:color w:val="auto"/>
                      <w:kern w:val="0"/>
                      <w:szCs w:val="21"/>
                      <w:lang w:val="en-US" w:eastAsia="zh-CN"/>
                    </w:rPr>
                    <w:t>NW</w:t>
                  </w:r>
                </w:p>
              </w:tc>
              <w:tc>
                <w:tcPr>
                  <w:tcW w:w="1177" w:type="dxa"/>
                  <w:vAlign w:val="center"/>
                </w:tcPr>
                <w:p>
                  <w:pPr>
                    <w:widowControl/>
                    <w:snapToGrid w:val="0"/>
                    <w:spacing w:before="24" w:beforeLines="10" w:after="24" w:afterLines="10"/>
                    <w:jc w:val="center"/>
                    <w:rPr>
                      <w:rFonts w:hint="default" w:eastAsia="宋体"/>
                      <w:color w:val="auto"/>
                      <w:kern w:val="0"/>
                      <w:szCs w:val="21"/>
                      <w:lang w:val="en-US" w:eastAsia="zh-CN"/>
                    </w:rPr>
                  </w:pPr>
                  <w:r>
                    <w:rPr>
                      <w:rFonts w:hint="eastAsia"/>
                      <w:color w:val="auto"/>
                      <w:kern w:val="0"/>
                      <w:szCs w:val="21"/>
                      <w:lang w:val="en-US" w:eastAsia="zh-CN"/>
                    </w:rPr>
                    <w:t>900</w:t>
                  </w:r>
                </w:p>
              </w:tc>
            </w:tr>
          </w:tbl>
          <w:p>
            <w:pPr>
              <w:spacing w:line="360" w:lineRule="auto"/>
              <w:ind w:firstLine="480" w:firstLineChars="200"/>
              <w:rPr>
                <w:color w:val="auto"/>
                <w:sz w:val="24"/>
              </w:rPr>
            </w:pPr>
            <w:r>
              <w:rPr>
                <w:color w:val="auto"/>
                <w:sz w:val="24"/>
              </w:rPr>
              <w:t>监测结果见下表。</w:t>
            </w:r>
          </w:p>
          <w:p>
            <w:pPr>
              <w:pStyle w:val="14"/>
              <w:spacing w:after="0" w:line="240" w:lineRule="auto"/>
              <w:ind w:left="0" w:leftChars="0" w:right="0" w:rightChars="0" w:firstLine="422"/>
              <w:jc w:val="center"/>
              <w:rPr>
                <w:b/>
                <w:color w:val="auto"/>
                <w:sz w:val="21"/>
                <w:szCs w:val="21"/>
              </w:rPr>
            </w:pPr>
            <w:r>
              <w:rPr>
                <w:b/>
                <w:color w:val="auto"/>
                <w:sz w:val="21"/>
                <w:szCs w:val="21"/>
              </w:rPr>
              <w:t>表3-3  环境空气监测结果表    单位：mg/m</w:t>
            </w:r>
            <w:r>
              <w:rPr>
                <w:b/>
                <w:color w:val="auto"/>
                <w:sz w:val="21"/>
                <w:szCs w:val="21"/>
                <w:vertAlign w:val="superscript"/>
              </w:rPr>
              <w:t>3</w:t>
            </w:r>
          </w:p>
          <w:tbl>
            <w:tblPr>
              <w:tblStyle w:val="29"/>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19"/>
              <w:gridCol w:w="2146"/>
              <w:gridCol w:w="21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90" w:type="dxa"/>
                  <w:vMerge w:val="restart"/>
                  <w:vAlign w:val="center"/>
                </w:tcPr>
                <w:p>
                  <w:pPr>
                    <w:pStyle w:val="90"/>
                    <w:rPr>
                      <w:color w:val="auto"/>
                      <w:szCs w:val="21"/>
                    </w:rPr>
                  </w:pPr>
                  <w:r>
                    <w:rPr>
                      <w:color w:val="auto"/>
                      <w:szCs w:val="21"/>
                    </w:rPr>
                    <w:t>时间</w:t>
                  </w:r>
                </w:p>
              </w:tc>
              <w:tc>
                <w:tcPr>
                  <w:tcW w:w="1819" w:type="dxa"/>
                  <w:vAlign w:val="center"/>
                </w:tcPr>
                <w:p>
                  <w:pPr>
                    <w:pStyle w:val="90"/>
                    <w:rPr>
                      <w:color w:val="auto"/>
                      <w:szCs w:val="21"/>
                    </w:rPr>
                  </w:pPr>
                  <w:r>
                    <w:rPr>
                      <w:rFonts w:hint="eastAsia"/>
                      <w:color w:val="auto"/>
                      <w:szCs w:val="20"/>
                    </w:rPr>
                    <w:t>TSP</w:t>
                  </w:r>
                </w:p>
              </w:tc>
              <w:tc>
                <w:tcPr>
                  <w:tcW w:w="2146" w:type="dxa"/>
                  <w:vMerge w:val="restart"/>
                  <w:vAlign w:val="center"/>
                </w:tcPr>
                <w:p>
                  <w:pPr>
                    <w:pStyle w:val="90"/>
                    <w:rPr>
                      <w:color w:val="auto"/>
                      <w:szCs w:val="20"/>
                    </w:rPr>
                  </w:pPr>
                  <w:r>
                    <w:rPr>
                      <w:color w:val="auto"/>
                      <w:szCs w:val="21"/>
                    </w:rPr>
                    <w:t>时间</w:t>
                  </w:r>
                </w:p>
              </w:tc>
              <w:tc>
                <w:tcPr>
                  <w:tcW w:w="2142" w:type="dxa"/>
                  <w:vAlign w:val="center"/>
                </w:tcPr>
                <w:p>
                  <w:pPr>
                    <w:pStyle w:val="90"/>
                    <w:rPr>
                      <w:rFonts w:hint="eastAsia" w:eastAsia="宋体"/>
                      <w:color w:val="auto"/>
                      <w:szCs w:val="21"/>
                      <w:lang w:eastAsia="zh-CN"/>
                    </w:rPr>
                  </w:pPr>
                  <w:r>
                    <w:rPr>
                      <w:rFonts w:hint="eastAsia"/>
                      <w:color w:val="auto"/>
                      <w:szCs w:val="20"/>
                      <w:lang w:val="en-US" w:eastAsia="zh-CN"/>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90" w:type="dxa"/>
                  <w:vMerge w:val="continue"/>
                  <w:vAlign w:val="center"/>
                </w:tcPr>
                <w:p>
                  <w:pPr>
                    <w:pStyle w:val="90"/>
                    <w:rPr>
                      <w:color w:val="auto"/>
                      <w:szCs w:val="21"/>
                    </w:rPr>
                  </w:pPr>
                </w:p>
              </w:tc>
              <w:tc>
                <w:tcPr>
                  <w:tcW w:w="1819" w:type="dxa"/>
                  <w:vAlign w:val="center"/>
                </w:tcPr>
                <w:p>
                  <w:pPr>
                    <w:pStyle w:val="90"/>
                    <w:rPr>
                      <w:color w:val="auto"/>
                      <w:szCs w:val="21"/>
                    </w:rPr>
                  </w:pPr>
                  <w:r>
                    <w:rPr>
                      <w:color w:val="auto"/>
                      <w:szCs w:val="21"/>
                    </w:rPr>
                    <w:t>24小时平均</w:t>
                  </w:r>
                </w:p>
              </w:tc>
              <w:tc>
                <w:tcPr>
                  <w:tcW w:w="2146" w:type="dxa"/>
                  <w:vMerge w:val="continue"/>
                  <w:vAlign w:val="center"/>
                </w:tcPr>
                <w:p>
                  <w:pPr>
                    <w:pStyle w:val="90"/>
                    <w:rPr>
                      <w:color w:val="auto"/>
                      <w:szCs w:val="21"/>
                    </w:rPr>
                  </w:pPr>
                </w:p>
              </w:tc>
              <w:tc>
                <w:tcPr>
                  <w:tcW w:w="2142" w:type="dxa"/>
                  <w:vAlign w:val="center"/>
                </w:tcPr>
                <w:p>
                  <w:pPr>
                    <w:pStyle w:val="90"/>
                    <w:rPr>
                      <w:rFonts w:hint="eastAsia" w:eastAsia="宋体"/>
                      <w:color w:val="auto"/>
                      <w:szCs w:val="21"/>
                      <w:lang w:eastAsia="zh-CN"/>
                    </w:rPr>
                  </w:pPr>
                  <w:r>
                    <w:rPr>
                      <w:color w:val="auto"/>
                      <w:szCs w:val="21"/>
                    </w:rPr>
                    <w:t>小时</w:t>
                  </w:r>
                  <w:r>
                    <w:rPr>
                      <w:rFonts w:hint="eastAsia"/>
                      <w:color w:val="auto"/>
                      <w:szCs w:val="21"/>
                      <w:lang w:val="en-US" w:eastAsia="zh-CN"/>
                    </w:rPr>
                    <w:t>均值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90" w:type="dxa"/>
                  <w:vAlign w:val="center"/>
                </w:tcPr>
                <w:p>
                  <w:pPr>
                    <w:jc w:val="center"/>
                    <w:rPr>
                      <w:color w:val="auto"/>
                      <w:szCs w:val="21"/>
                    </w:rPr>
                  </w:pPr>
                  <w:r>
                    <w:rPr>
                      <w:color w:val="auto"/>
                      <w:szCs w:val="21"/>
                    </w:rPr>
                    <w:t>2023年07月14日</w:t>
                  </w:r>
                </w:p>
              </w:tc>
              <w:tc>
                <w:tcPr>
                  <w:tcW w:w="1819" w:type="dxa"/>
                  <w:tcBorders>
                    <w:right w:val="single" w:color="auto" w:sz="4" w:space="0"/>
                  </w:tcBorders>
                  <w:vAlign w:val="center"/>
                </w:tcPr>
                <w:p>
                  <w:pPr>
                    <w:jc w:val="center"/>
                    <w:rPr>
                      <w:color w:val="auto"/>
                      <w:szCs w:val="21"/>
                    </w:rPr>
                  </w:pPr>
                  <w:r>
                    <w:rPr>
                      <w:color w:val="auto"/>
                      <w:szCs w:val="21"/>
                    </w:rPr>
                    <w:t>0.098</w:t>
                  </w:r>
                </w:p>
              </w:tc>
              <w:tc>
                <w:tcPr>
                  <w:tcW w:w="2146" w:type="dxa"/>
                  <w:vAlign w:val="center"/>
                </w:tcPr>
                <w:p>
                  <w:pPr>
                    <w:jc w:val="center"/>
                    <w:rPr>
                      <w:color w:val="auto"/>
                      <w:szCs w:val="21"/>
                    </w:rPr>
                  </w:pPr>
                  <w:r>
                    <w:rPr>
                      <w:color w:val="auto"/>
                      <w:szCs w:val="21"/>
                    </w:rPr>
                    <w:t>202</w:t>
                  </w:r>
                  <w:r>
                    <w:rPr>
                      <w:rFonts w:hint="eastAsia"/>
                      <w:color w:val="auto"/>
                      <w:szCs w:val="21"/>
                      <w:lang w:val="en-US" w:eastAsia="zh-CN"/>
                    </w:rPr>
                    <w:t>2</w:t>
                  </w:r>
                  <w:r>
                    <w:rPr>
                      <w:color w:val="auto"/>
                      <w:szCs w:val="21"/>
                    </w:rPr>
                    <w:t>年0</w:t>
                  </w:r>
                  <w:r>
                    <w:rPr>
                      <w:rFonts w:hint="eastAsia"/>
                      <w:color w:val="auto"/>
                      <w:szCs w:val="21"/>
                      <w:lang w:val="en-US" w:eastAsia="zh-CN"/>
                    </w:rPr>
                    <w:t>3</w:t>
                  </w:r>
                  <w:r>
                    <w:rPr>
                      <w:color w:val="auto"/>
                      <w:szCs w:val="21"/>
                    </w:rPr>
                    <w:t>月</w:t>
                  </w:r>
                  <w:r>
                    <w:rPr>
                      <w:rFonts w:hint="eastAsia"/>
                      <w:color w:val="auto"/>
                      <w:szCs w:val="21"/>
                      <w:lang w:val="en-US" w:eastAsia="zh-CN"/>
                    </w:rPr>
                    <w:t>15</w:t>
                  </w:r>
                  <w:r>
                    <w:rPr>
                      <w:color w:val="auto"/>
                      <w:szCs w:val="21"/>
                    </w:rPr>
                    <w:t>日</w:t>
                  </w:r>
                </w:p>
              </w:tc>
              <w:tc>
                <w:tcPr>
                  <w:tcW w:w="2142" w:type="dxa"/>
                  <w:vAlign w:val="center"/>
                </w:tcPr>
                <w:p>
                  <w:pPr>
                    <w:jc w:val="center"/>
                    <w:rPr>
                      <w:rFonts w:hint="default" w:eastAsia="宋体"/>
                      <w:color w:val="auto"/>
                      <w:szCs w:val="21"/>
                      <w:lang w:val="en-US" w:eastAsia="zh-CN"/>
                    </w:rPr>
                  </w:pPr>
                  <w:r>
                    <w:rPr>
                      <w:rFonts w:hint="eastAsia"/>
                      <w:color w:val="auto"/>
                      <w:szCs w:val="21"/>
                      <w:lang w:val="en-US" w:eastAsia="zh-CN"/>
                    </w:rPr>
                    <w:t>0.62~0.68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90" w:type="dxa"/>
                  <w:vAlign w:val="center"/>
                </w:tcPr>
                <w:p>
                  <w:pPr>
                    <w:jc w:val="center"/>
                    <w:rPr>
                      <w:color w:val="auto"/>
                      <w:szCs w:val="21"/>
                    </w:rPr>
                  </w:pPr>
                  <w:r>
                    <w:rPr>
                      <w:color w:val="auto"/>
                      <w:szCs w:val="21"/>
                    </w:rPr>
                    <w:t>2023年07月15日</w:t>
                  </w:r>
                </w:p>
              </w:tc>
              <w:tc>
                <w:tcPr>
                  <w:tcW w:w="1819" w:type="dxa"/>
                  <w:tcBorders>
                    <w:right w:val="single" w:color="auto" w:sz="4" w:space="0"/>
                  </w:tcBorders>
                  <w:vAlign w:val="center"/>
                </w:tcPr>
                <w:p>
                  <w:pPr>
                    <w:jc w:val="center"/>
                    <w:rPr>
                      <w:color w:val="auto"/>
                      <w:szCs w:val="21"/>
                    </w:rPr>
                  </w:pPr>
                  <w:r>
                    <w:rPr>
                      <w:color w:val="auto"/>
                      <w:szCs w:val="21"/>
                    </w:rPr>
                    <w:t>0.073</w:t>
                  </w:r>
                </w:p>
              </w:tc>
              <w:tc>
                <w:tcPr>
                  <w:tcW w:w="2146" w:type="dxa"/>
                  <w:vAlign w:val="center"/>
                </w:tcPr>
                <w:p>
                  <w:pPr>
                    <w:jc w:val="center"/>
                    <w:rPr>
                      <w:color w:val="auto"/>
                      <w:szCs w:val="21"/>
                    </w:rPr>
                  </w:pPr>
                  <w:r>
                    <w:rPr>
                      <w:color w:val="auto"/>
                      <w:szCs w:val="21"/>
                    </w:rPr>
                    <w:t>202</w:t>
                  </w:r>
                  <w:r>
                    <w:rPr>
                      <w:rFonts w:hint="eastAsia"/>
                      <w:color w:val="auto"/>
                      <w:szCs w:val="21"/>
                      <w:lang w:val="en-US" w:eastAsia="zh-CN"/>
                    </w:rPr>
                    <w:t>2</w:t>
                  </w:r>
                  <w:r>
                    <w:rPr>
                      <w:color w:val="auto"/>
                      <w:szCs w:val="21"/>
                    </w:rPr>
                    <w:t>年0</w:t>
                  </w:r>
                  <w:r>
                    <w:rPr>
                      <w:rFonts w:hint="eastAsia"/>
                      <w:color w:val="auto"/>
                      <w:szCs w:val="21"/>
                      <w:lang w:val="en-US" w:eastAsia="zh-CN"/>
                    </w:rPr>
                    <w:t>3</w:t>
                  </w:r>
                  <w:r>
                    <w:rPr>
                      <w:color w:val="auto"/>
                      <w:szCs w:val="21"/>
                    </w:rPr>
                    <w:t>月</w:t>
                  </w:r>
                  <w:r>
                    <w:rPr>
                      <w:rFonts w:hint="eastAsia"/>
                      <w:color w:val="auto"/>
                      <w:szCs w:val="21"/>
                      <w:lang w:val="en-US" w:eastAsia="zh-CN"/>
                    </w:rPr>
                    <w:t>16</w:t>
                  </w:r>
                  <w:r>
                    <w:rPr>
                      <w:color w:val="auto"/>
                      <w:szCs w:val="21"/>
                    </w:rPr>
                    <w:t>日</w:t>
                  </w:r>
                </w:p>
              </w:tc>
              <w:tc>
                <w:tcPr>
                  <w:tcW w:w="2142" w:type="dxa"/>
                  <w:vAlign w:val="center"/>
                </w:tcPr>
                <w:p>
                  <w:pPr>
                    <w:jc w:val="center"/>
                    <w:rPr>
                      <w:rFonts w:hint="default" w:eastAsia="宋体"/>
                      <w:color w:val="auto"/>
                      <w:szCs w:val="21"/>
                      <w:lang w:val="en-US" w:eastAsia="zh-CN"/>
                    </w:rPr>
                  </w:pPr>
                  <w:r>
                    <w:rPr>
                      <w:rFonts w:hint="eastAsia"/>
                      <w:color w:val="auto"/>
                      <w:szCs w:val="21"/>
                      <w:lang w:val="en-US" w:eastAsia="zh-CN"/>
                    </w:rPr>
                    <w:t>0.58~0.67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90" w:type="dxa"/>
                  <w:vAlign w:val="center"/>
                </w:tcPr>
                <w:p>
                  <w:pPr>
                    <w:jc w:val="center"/>
                    <w:rPr>
                      <w:color w:val="auto"/>
                      <w:szCs w:val="21"/>
                    </w:rPr>
                  </w:pPr>
                  <w:r>
                    <w:rPr>
                      <w:color w:val="auto"/>
                      <w:szCs w:val="21"/>
                    </w:rPr>
                    <w:t>2023年07月16日</w:t>
                  </w:r>
                </w:p>
              </w:tc>
              <w:tc>
                <w:tcPr>
                  <w:tcW w:w="1819" w:type="dxa"/>
                  <w:tcBorders>
                    <w:right w:val="single" w:color="auto" w:sz="4" w:space="0"/>
                  </w:tcBorders>
                  <w:vAlign w:val="center"/>
                </w:tcPr>
                <w:p>
                  <w:pPr>
                    <w:jc w:val="center"/>
                    <w:rPr>
                      <w:color w:val="auto"/>
                      <w:szCs w:val="21"/>
                    </w:rPr>
                  </w:pPr>
                  <w:r>
                    <w:rPr>
                      <w:color w:val="auto"/>
                      <w:szCs w:val="21"/>
                    </w:rPr>
                    <w:t>0.065</w:t>
                  </w:r>
                </w:p>
              </w:tc>
              <w:tc>
                <w:tcPr>
                  <w:tcW w:w="2146" w:type="dxa"/>
                  <w:vAlign w:val="center"/>
                </w:tcPr>
                <w:p>
                  <w:pPr>
                    <w:jc w:val="center"/>
                    <w:rPr>
                      <w:color w:val="auto"/>
                      <w:szCs w:val="21"/>
                    </w:rPr>
                  </w:pPr>
                  <w:r>
                    <w:rPr>
                      <w:color w:val="auto"/>
                      <w:szCs w:val="21"/>
                    </w:rPr>
                    <w:t>202</w:t>
                  </w:r>
                  <w:r>
                    <w:rPr>
                      <w:rFonts w:hint="eastAsia"/>
                      <w:color w:val="auto"/>
                      <w:szCs w:val="21"/>
                      <w:lang w:val="en-US" w:eastAsia="zh-CN"/>
                    </w:rPr>
                    <w:t>2</w:t>
                  </w:r>
                  <w:r>
                    <w:rPr>
                      <w:color w:val="auto"/>
                      <w:szCs w:val="21"/>
                    </w:rPr>
                    <w:t>年0</w:t>
                  </w:r>
                  <w:r>
                    <w:rPr>
                      <w:rFonts w:hint="eastAsia"/>
                      <w:color w:val="auto"/>
                      <w:szCs w:val="21"/>
                      <w:lang w:val="en-US" w:eastAsia="zh-CN"/>
                    </w:rPr>
                    <w:t>3</w:t>
                  </w:r>
                  <w:r>
                    <w:rPr>
                      <w:color w:val="auto"/>
                      <w:szCs w:val="21"/>
                    </w:rPr>
                    <w:t>月</w:t>
                  </w:r>
                  <w:r>
                    <w:rPr>
                      <w:rFonts w:hint="eastAsia"/>
                      <w:color w:val="auto"/>
                      <w:szCs w:val="21"/>
                      <w:lang w:val="en-US" w:eastAsia="zh-CN"/>
                    </w:rPr>
                    <w:t>17</w:t>
                  </w:r>
                  <w:r>
                    <w:rPr>
                      <w:color w:val="auto"/>
                      <w:szCs w:val="21"/>
                    </w:rPr>
                    <w:t>日</w:t>
                  </w:r>
                </w:p>
              </w:tc>
              <w:tc>
                <w:tcPr>
                  <w:tcW w:w="2142" w:type="dxa"/>
                  <w:vAlign w:val="center"/>
                </w:tcPr>
                <w:p>
                  <w:pPr>
                    <w:jc w:val="center"/>
                    <w:rPr>
                      <w:rFonts w:hint="default" w:eastAsia="宋体"/>
                      <w:color w:val="auto"/>
                      <w:szCs w:val="21"/>
                      <w:lang w:val="en-US" w:eastAsia="zh-CN"/>
                    </w:rPr>
                  </w:pPr>
                  <w:r>
                    <w:rPr>
                      <w:rFonts w:hint="eastAsia"/>
                      <w:color w:val="auto"/>
                      <w:szCs w:val="21"/>
                      <w:lang w:val="en-US" w:eastAsia="zh-CN"/>
                    </w:rPr>
                    <w:t>0.62~0.73</w:t>
                  </w:r>
                </w:p>
              </w:tc>
            </w:tr>
          </w:tbl>
          <w:p>
            <w:pPr>
              <w:adjustRightInd w:val="0"/>
              <w:snapToGrid w:val="0"/>
              <w:spacing w:before="120" w:beforeLines="50" w:line="360" w:lineRule="auto"/>
              <w:ind w:firstLine="480" w:firstLineChars="200"/>
              <w:rPr>
                <w:color w:val="auto"/>
                <w:sz w:val="24"/>
              </w:rPr>
            </w:pPr>
            <w:r>
              <w:rPr>
                <w:color w:val="auto"/>
                <w:sz w:val="24"/>
              </w:rPr>
              <w:t>对监测数据进行统计，结果如下表3-4。</w:t>
            </w:r>
          </w:p>
          <w:p>
            <w:pPr>
              <w:snapToGrid w:val="0"/>
              <w:jc w:val="center"/>
              <w:rPr>
                <w:rFonts w:hint="default" w:eastAsia="宋体"/>
                <w:b/>
                <w:color w:val="auto"/>
                <w:szCs w:val="21"/>
                <w:lang w:val="en-US" w:eastAsia="zh-CN"/>
              </w:rPr>
            </w:pPr>
            <w:r>
              <w:rPr>
                <w:rFonts w:eastAsia="Times New Roman"/>
                <w:b/>
                <w:color w:val="auto"/>
                <w:szCs w:val="21"/>
              </w:rPr>
              <w:t>表3-</w:t>
            </w:r>
            <w:r>
              <w:rPr>
                <w:b/>
                <w:color w:val="auto"/>
                <w:szCs w:val="21"/>
              </w:rPr>
              <w:t>4</w:t>
            </w:r>
            <w:r>
              <w:rPr>
                <w:rFonts w:eastAsia="Times New Roman"/>
                <w:b/>
                <w:color w:val="auto"/>
                <w:szCs w:val="21"/>
              </w:rPr>
              <w:t xml:space="preserve">  评价结果统计表</w:t>
            </w:r>
            <w:r>
              <w:rPr>
                <w:rFonts w:hint="eastAsia" w:eastAsia="宋体"/>
                <w:b/>
                <w:color w:val="auto"/>
                <w:szCs w:val="21"/>
                <w:lang w:val="en-US" w:eastAsia="zh-CN"/>
              </w:rPr>
              <w:t xml:space="preserve">  单位：</w:t>
            </w:r>
            <w:r>
              <w:rPr>
                <w:rFonts w:hint="default" w:ascii="Times New Roman" w:hAnsi="Times New Roman" w:eastAsia="宋体" w:cs="Times New Roman"/>
                <w:b/>
                <w:bCs/>
                <w:color w:val="auto"/>
                <w:kern w:val="0"/>
                <w:sz w:val="21"/>
                <w:szCs w:val="21"/>
              </w:rPr>
              <w:t>μg/m</w:t>
            </w:r>
            <w:r>
              <w:rPr>
                <w:rFonts w:hint="default" w:ascii="Times New Roman" w:hAnsi="Times New Roman" w:eastAsia="宋体" w:cs="Times New Roman"/>
                <w:b/>
                <w:bCs/>
                <w:color w:val="auto"/>
                <w:kern w:val="0"/>
                <w:sz w:val="21"/>
                <w:szCs w:val="21"/>
                <w:vertAlign w:val="superscript"/>
              </w:rPr>
              <w:t>3</w:t>
            </w:r>
          </w:p>
          <w:tbl>
            <w:tblPr>
              <w:tblStyle w:val="29"/>
              <w:tblW w:w="798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50"/>
              <w:gridCol w:w="740"/>
              <w:gridCol w:w="910"/>
              <w:gridCol w:w="847"/>
              <w:gridCol w:w="773"/>
              <w:gridCol w:w="984"/>
              <w:gridCol w:w="921"/>
              <w:gridCol w:w="707"/>
              <w:gridCol w:w="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9"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监测点位</w:t>
                  </w:r>
                </w:p>
              </w:tc>
              <w:tc>
                <w:tcPr>
                  <w:tcW w:w="1490" w:type="dxa"/>
                  <w:gridSpan w:val="2"/>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监测点坐标</w:t>
                  </w:r>
                  <w:r>
                    <w:rPr>
                      <w:rFonts w:hint="default" w:ascii="Times New Roman" w:hAnsi="Times New Roman" w:eastAsia="宋体" w:cs="Times New Roman"/>
                      <w:b/>
                      <w:color w:val="auto"/>
                      <w:kern w:val="0"/>
                      <w:sz w:val="21"/>
                      <w:szCs w:val="21"/>
                    </w:rPr>
                    <w:t>/°</w:t>
                  </w:r>
                </w:p>
              </w:tc>
              <w:tc>
                <w:tcPr>
                  <w:tcW w:w="910" w:type="dxa"/>
                  <w:vMerge w:val="restart"/>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监测因子</w:t>
                  </w:r>
                </w:p>
              </w:tc>
              <w:tc>
                <w:tcPr>
                  <w:tcW w:w="847"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平均</w:t>
                  </w:r>
                </w:p>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时间</w:t>
                  </w:r>
                </w:p>
              </w:tc>
              <w:tc>
                <w:tcPr>
                  <w:tcW w:w="773"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评价标准</w:t>
                  </w:r>
                </w:p>
              </w:tc>
              <w:tc>
                <w:tcPr>
                  <w:tcW w:w="984"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监测浓度范围</w:t>
                  </w:r>
                </w:p>
              </w:tc>
              <w:tc>
                <w:tcPr>
                  <w:tcW w:w="921"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最大浓度占标率/%</w:t>
                  </w:r>
                </w:p>
              </w:tc>
              <w:tc>
                <w:tcPr>
                  <w:tcW w:w="707"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超标率/%</w:t>
                  </w:r>
                </w:p>
              </w:tc>
              <w:tc>
                <w:tcPr>
                  <w:tcW w:w="688" w:type="dxa"/>
                  <w:vMerge w:val="restart"/>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9"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75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经度</w:t>
                  </w:r>
                </w:p>
              </w:tc>
              <w:tc>
                <w:tcPr>
                  <w:tcW w:w="74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纬度</w:t>
                  </w:r>
                </w:p>
              </w:tc>
              <w:tc>
                <w:tcPr>
                  <w:tcW w:w="910" w:type="dxa"/>
                  <w:vMerge w:val="continue"/>
                  <w:vAlign w:val="center"/>
                </w:tcPr>
                <w:p>
                  <w:pPr>
                    <w:widowControl/>
                    <w:snapToGrid w:val="0"/>
                    <w:spacing w:before="24" w:beforeLines="10" w:after="24" w:afterLines="10"/>
                    <w:jc w:val="left"/>
                    <w:rPr>
                      <w:rFonts w:hint="default" w:ascii="Times New Roman" w:hAnsi="Times New Roman" w:eastAsia="宋体" w:cs="Times New Roman"/>
                      <w:color w:val="auto"/>
                      <w:kern w:val="0"/>
                      <w:sz w:val="21"/>
                      <w:szCs w:val="21"/>
                    </w:rPr>
                  </w:pPr>
                </w:p>
              </w:tc>
              <w:tc>
                <w:tcPr>
                  <w:tcW w:w="847"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773"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984"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921"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707"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c>
                <w:tcPr>
                  <w:tcW w:w="688" w:type="dxa"/>
                  <w:vMerge w:val="continue"/>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9"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75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108.949774</w:t>
                  </w:r>
                </w:p>
              </w:tc>
              <w:tc>
                <w:tcPr>
                  <w:tcW w:w="74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34.539792</w:t>
                  </w:r>
                </w:p>
              </w:tc>
              <w:tc>
                <w:tcPr>
                  <w:tcW w:w="91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非甲烷总烃</w:t>
                  </w:r>
                </w:p>
              </w:tc>
              <w:tc>
                <w:tcPr>
                  <w:tcW w:w="847" w:type="dxa"/>
                  <w:vAlign w:val="center"/>
                </w:tcPr>
                <w:p>
                  <w:pPr>
                    <w:snapToGrid w:val="0"/>
                    <w:spacing w:before="36" w:beforeLines="15" w:after="36" w:afterLines="15"/>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小时</w:t>
                  </w:r>
                  <w:r>
                    <w:rPr>
                      <w:rFonts w:hint="default" w:ascii="Times New Roman" w:hAnsi="Times New Roman" w:eastAsia="宋体" w:cs="Times New Roman"/>
                      <w:color w:val="auto"/>
                      <w:kern w:val="0"/>
                      <w:sz w:val="21"/>
                      <w:szCs w:val="21"/>
                      <w:lang w:val="en-US" w:eastAsia="zh-CN"/>
                    </w:rPr>
                    <w:t>均值</w:t>
                  </w:r>
                </w:p>
              </w:tc>
              <w:tc>
                <w:tcPr>
                  <w:tcW w:w="773" w:type="dxa"/>
                  <w:vAlign w:val="center"/>
                </w:tcPr>
                <w:p>
                  <w:pPr>
                    <w:widowControl/>
                    <w:snapToGrid w:val="0"/>
                    <w:spacing w:before="36" w:beforeLines="15" w:after="36" w:afterLines="15"/>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2</w:t>
                  </w:r>
                  <w:r>
                    <w:rPr>
                      <w:rFonts w:hint="eastAsia" w:ascii="Times New Roman" w:hAnsi="Times New Roman"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rPr>
                    <w:t>3</w:t>
                  </w:r>
                </w:p>
              </w:tc>
              <w:tc>
                <w:tcPr>
                  <w:tcW w:w="984"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0.58~0.73</w:t>
                  </w:r>
                  <w:r>
                    <w:rPr>
                      <w:rFonts w:hint="eastAsia" w:ascii="Times New Roman" w:hAnsi="Times New Roman"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rPr>
                    <w:t>3</w:t>
                  </w:r>
                </w:p>
              </w:tc>
              <w:tc>
                <w:tcPr>
                  <w:tcW w:w="921"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val="en-US" w:eastAsia="zh-CN"/>
                    </w:rPr>
                    <w:t>35</w:t>
                  </w:r>
                  <w:r>
                    <w:rPr>
                      <w:rFonts w:hint="default" w:ascii="Times New Roman" w:hAnsi="Times New Roman" w:eastAsia="宋体" w:cs="Times New Roman"/>
                      <w:color w:val="auto"/>
                      <w:kern w:val="0"/>
                      <w:sz w:val="21"/>
                      <w:szCs w:val="21"/>
                    </w:rPr>
                    <w:t>.0</w:t>
                  </w:r>
                </w:p>
              </w:tc>
              <w:tc>
                <w:tcPr>
                  <w:tcW w:w="707"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w:t>
                  </w:r>
                </w:p>
              </w:tc>
              <w:tc>
                <w:tcPr>
                  <w:tcW w:w="688"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69"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75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108.952167</w:t>
                  </w:r>
                </w:p>
              </w:tc>
              <w:tc>
                <w:tcPr>
                  <w:tcW w:w="74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34.537017</w:t>
                  </w:r>
                </w:p>
              </w:tc>
              <w:tc>
                <w:tcPr>
                  <w:tcW w:w="910" w:type="dxa"/>
                  <w:vAlign w:val="center"/>
                </w:tcPr>
                <w:p>
                  <w:pPr>
                    <w:widowControl/>
                    <w:snapToGrid w:val="0"/>
                    <w:spacing w:before="24" w:beforeLines="10" w:after="24" w:afterLines="1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TSP</w:t>
                  </w:r>
                </w:p>
              </w:tc>
              <w:tc>
                <w:tcPr>
                  <w:tcW w:w="847" w:type="dxa"/>
                  <w:vAlign w:val="center"/>
                </w:tcPr>
                <w:p>
                  <w:pPr>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24小时平均</w:t>
                  </w:r>
                </w:p>
              </w:tc>
              <w:tc>
                <w:tcPr>
                  <w:tcW w:w="773"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300</w:t>
                  </w:r>
                </w:p>
              </w:tc>
              <w:tc>
                <w:tcPr>
                  <w:tcW w:w="984"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65~98</w:t>
                  </w:r>
                </w:p>
              </w:tc>
              <w:tc>
                <w:tcPr>
                  <w:tcW w:w="921"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32.7</w:t>
                  </w:r>
                </w:p>
              </w:tc>
              <w:tc>
                <w:tcPr>
                  <w:tcW w:w="707"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w:t>
                  </w:r>
                </w:p>
              </w:tc>
              <w:tc>
                <w:tcPr>
                  <w:tcW w:w="688" w:type="dxa"/>
                  <w:vAlign w:val="center"/>
                </w:tcPr>
                <w:p>
                  <w:pPr>
                    <w:widowControl/>
                    <w:snapToGrid w:val="0"/>
                    <w:spacing w:before="36" w:beforeLines="15" w:after="36" w:afterLines="15"/>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达标</w:t>
                  </w:r>
                </w:p>
              </w:tc>
            </w:tr>
          </w:tbl>
          <w:p>
            <w:pPr>
              <w:pStyle w:val="91"/>
              <w:spacing w:before="120" w:beforeLines="50" w:line="360" w:lineRule="auto"/>
              <w:ind w:firstLine="437" w:firstLineChars="0"/>
              <w:rPr>
                <w:rFonts w:ascii="Times New Roman" w:hAnsi="Times New Roman"/>
                <w:color w:val="auto"/>
                <w:sz w:val="24"/>
                <w:szCs w:val="24"/>
              </w:rPr>
            </w:pPr>
            <w:r>
              <w:rPr>
                <w:rFonts w:ascii="Times New Roman" w:hAnsi="Times New Roman"/>
                <w:color w:val="auto"/>
                <w:sz w:val="24"/>
              </w:rPr>
              <w:t>由监测结果可知，监测期间项目所在区域TSP浓度监测值满足《环境空气质量标准》（GB3095-2012）二级标准要求</w:t>
            </w:r>
            <w:r>
              <w:rPr>
                <w:rFonts w:hint="eastAsia" w:ascii="Times New Roman" w:hAnsi="Times New Roman"/>
                <w:color w:val="auto"/>
                <w:sz w:val="24"/>
                <w:lang w:eastAsia="zh-CN"/>
              </w:rPr>
              <w:t>，</w:t>
            </w:r>
            <w:r>
              <w:rPr>
                <w:rFonts w:hint="eastAsia" w:ascii="Times New Roman" w:hAnsi="Times New Roman"/>
                <w:color w:val="auto"/>
                <w:sz w:val="24"/>
                <w:lang w:val="en-US" w:eastAsia="zh-CN"/>
              </w:rPr>
              <w:t>非甲烷总烃浓度监测值满足《大气污染物综合排放详解》中标准限值</w:t>
            </w:r>
            <w:r>
              <w:rPr>
                <w:rFonts w:ascii="Times New Roman" w:hAnsi="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jc w:val="left"/>
              <w:textAlignment w:val="auto"/>
              <w:rPr>
                <w:b/>
                <w:color w:val="auto"/>
                <w:kern w:val="28"/>
                <w:sz w:val="24"/>
              </w:rPr>
            </w:pPr>
            <w:r>
              <w:rPr>
                <w:b/>
                <w:color w:val="auto"/>
                <w:kern w:val="28"/>
                <w:sz w:val="24"/>
              </w:rPr>
              <w:t>2、声环境质量现状</w:t>
            </w:r>
          </w:p>
          <w:p>
            <w:pPr>
              <w:keepNext w:val="0"/>
              <w:keepLines w:val="0"/>
              <w:pageBreakBefore w:val="0"/>
              <w:widowControl w:val="0"/>
              <w:tabs>
                <w:tab w:val="left" w:pos="9345"/>
              </w:tabs>
              <w:kinsoku/>
              <w:wordWrap/>
              <w:overflowPunct/>
              <w:topLinePunct w:val="0"/>
              <w:autoSpaceDE/>
              <w:autoSpaceDN/>
              <w:bidi w:val="0"/>
              <w:spacing w:line="360" w:lineRule="auto"/>
              <w:ind w:right="0" w:firstLine="480" w:firstLineChars="200"/>
              <w:textAlignment w:val="auto"/>
              <w:rPr>
                <w:color w:val="auto"/>
              </w:rPr>
            </w:pPr>
            <w:r>
              <w:rPr>
                <w:rFonts w:hint="eastAsia" w:cs="Times New Roman"/>
                <w:color w:val="auto"/>
                <w:sz w:val="24"/>
                <w:szCs w:val="24"/>
                <w:highlight w:val="none"/>
                <w:lang w:val="en-US" w:eastAsia="zh-CN"/>
              </w:rPr>
              <w:t>本项目周边50m范围内无声环境保护目标，因此无需声环境质量现状监测</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b/>
                <w:color w:val="auto"/>
                <w:kern w:val="0"/>
                <w:sz w:val="24"/>
              </w:rPr>
            </w:pPr>
            <w:r>
              <w:rPr>
                <w:b/>
                <w:color w:val="auto"/>
                <w:kern w:val="0"/>
                <w:sz w:val="24"/>
              </w:rPr>
              <w:t>3、生态环境质量现状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rFonts w:hint="eastAsia"/>
                <w:bCs/>
                <w:color w:val="auto"/>
                <w:kern w:val="28"/>
                <w:sz w:val="24"/>
                <w:lang w:val="en-US" w:eastAsia="zh-CN"/>
              </w:rPr>
              <w:t>本项目租赁园区内厂房，因此不进行生态现状调查</w:t>
            </w:r>
            <w:r>
              <w:rPr>
                <w:bCs/>
                <w:color w:val="auto"/>
                <w:kern w:val="28"/>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color w:val="auto"/>
                <w:kern w:val="0"/>
                <w:sz w:val="24"/>
              </w:rPr>
            </w:pPr>
            <w:r>
              <w:rPr>
                <w:b/>
                <w:color w:val="auto"/>
                <w:kern w:val="0"/>
                <w:sz w:val="24"/>
              </w:rPr>
              <w:t>4、</w:t>
            </w:r>
            <w:r>
              <w:rPr>
                <w:b/>
                <w:color w:val="auto"/>
                <w:kern w:val="0"/>
                <w:sz w:val="24"/>
                <w:lang w:val="en-GB"/>
              </w:rPr>
              <w:t>地下水、土壤环境</w:t>
            </w:r>
            <w:r>
              <w:rPr>
                <w:b/>
                <w:color w:val="auto"/>
                <w:kern w:val="0"/>
                <w:sz w:val="24"/>
              </w:rPr>
              <w:t>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
                <w:color w:val="auto"/>
                <w:kern w:val="0"/>
                <w:sz w:val="24"/>
              </w:rPr>
            </w:pPr>
            <w:r>
              <w:rPr>
                <w:bCs/>
                <w:color w:val="auto"/>
                <w:kern w:val="28"/>
                <w:sz w:val="24"/>
              </w:rPr>
              <w:t>本项目生产过程不涉及地下水、土壤污染途径。因此本次评价不对地下水、土壤环境进行现状调查。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25" w:type="dxa"/>
            <w:vAlign w:val="center"/>
          </w:tcPr>
          <w:p>
            <w:pPr>
              <w:adjustRightInd w:val="0"/>
              <w:snapToGrid w:val="0"/>
              <w:jc w:val="center"/>
              <w:rPr>
                <w:b/>
                <w:bCs/>
                <w:color w:val="auto"/>
                <w:kern w:val="0"/>
                <w:sz w:val="24"/>
              </w:rPr>
            </w:pPr>
            <w:r>
              <w:rPr>
                <w:b/>
                <w:bCs/>
                <w:color w:val="auto"/>
                <w:kern w:val="0"/>
                <w:sz w:val="24"/>
              </w:rPr>
              <w:t>环境</w:t>
            </w:r>
          </w:p>
          <w:p>
            <w:pPr>
              <w:adjustRightInd w:val="0"/>
              <w:snapToGrid w:val="0"/>
              <w:jc w:val="center"/>
              <w:rPr>
                <w:b/>
                <w:bCs/>
                <w:color w:val="auto"/>
                <w:kern w:val="0"/>
                <w:sz w:val="24"/>
              </w:rPr>
            </w:pPr>
            <w:r>
              <w:rPr>
                <w:b/>
                <w:bCs/>
                <w:color w:val="auto"/>
                <w:kern w:val="0"/>
                <w:sz w:val="24"/>
              </w:rPr>
              <w:t>保护</w:t>
            </w:r>
          </w:p>
          <w:p>
            <w:pPr>
              <w:adjustRightInd w:val="0"/>
              <w:snapToGrid w:val="0"/>
              <w:jc w:val="center"/>
              <w:rPr>
                <w:b/>
                <w:bCs/>
                <w:color w:val="auto"/>
                <w:kern w:val="0"/>
                <w:sz w:val="24"/>
              </w:rPr>
            </w:pPr>
            <w:r>
              <w:rPr>
                <w:b/>
                <w:bCs/>
                <w:color w:val="auto"/>
                <w:kern w:val="0"/>
                <w:sz w:val="24"/>
              </w:rPr>
              <w:t>目标</w:t>
            </w:r>
          </w:p>
        </w:tc>
        <w:tc>
          <w:tcPr>
            <w:tcW w:w="8491" w:type="dxa"/>
            <w:vAlign w:val="center"/>
          </w:tcPr>
          <w:p>
            <w:pPr>
              <w:adjustRightInd w:val="0"/>
              <w:snapToGrid w:val="0"/>
              <w:spacing w:line="360" w:lineRule="auto"/>
              <w:ind w:firstLine="480" w:firstLineChars="200"/>
              <w:jc w:val="left"/>
              <w:rPr>
                <w:color w:val="auto"/>
                <w:sz w:val="24"/>
              </w:rPr>
            </w:pPr>
            <w:r>
              <w:rPr>
                <w:color w:val="auto"/>
                <w:sz w:val="24"/>
              </w:rPr>
              <w:t>根据工程特点、项目所在地区环境状况及项目营运期对环境的影响，确定本次评价主要环境保护目标见表3-</w:t>
            </w:r>
            <w:r>
              <w:rPr>
                <w:rFonts w:hint="eastAsia"/>
                <w:color w:val="auto"/>
                <w:sz w:val="24"/>
                <w:lang w:val="en-US" w:eastAsia="zh-CN"/>
              </w:rPr>
              <w:t>7</w:t>
            </w:r>
            <w:r>
              <w:rPr>
                <w:color w:val="auto"/>
                <w:sz w:val="24"/>
              </w:rPr>
              <w:t>，项目环保目标见</w:t>
            </w:r>
            <w:r>
              <w:rPr>
                <w:color w:val="auto"/>
                <w:sz w:val="24"/>
                <w:highlight w:val="none"/>
              </w:rPr>
              <w:t>附图</w:t>
            </w:r>
            <w:r>
              <w:rPr>
                <w:rFonts w:hint="eastAsia"/>
                <w:color w:val="auto"/>
                <w:sz w:val="24"/>
                <w:highlight w:val="none"/>
                <w:lang w:val="en-US" w:eastAsia="zh-CN"/>
              </w:rPr>
              <w:t>7</w:t>
            </w:r>
            <w:r>
              <w:rPr>
                <w:color w:val="auto"/>
                <w:sz w:val="24"/>
              </w:rPr>
              <w:t>。</w:t>
            </w:r>
          </w:p>
          <w:p>
            <w:pPr>
              <w:adjustRightInd w:val="0"/>
              <w:snapToGrid w:val="0"/>
              <w:spacing w:line="360" w:lineRule="auto"/>
              <w:ind w:firstLine="482" w:firstLineChars="200"/>
              <w:jc w:val="left"/>
              <w:rPr>
                <w:b/>
                <w:bCs/>
                <w:color w:val="auto"/>
                <w:sz w:val="24"/>
              </w:rPr>
            </w:pPr>
            <w:r>
              <w:rPr>
                <w:b/>
                <w:bCs/>
                <w:color w:val="auto"/>
                <w:sz w:val="24"/>
              </w:rPr>
              <w:t>1、大气环境</w:t>
            </w:r>
          </w:p>
          <w:p>
            <w:pPr>
              <w:adjustRightInd w:val="0"/>
              <w:snapToGrid w:val="0"/>
              <w:spacing w:line="360" w:lineRule="auto"/>
              <w:ind w:firstLine="480" w:firstLineChars="200"/>
              <w:jc w:val="left"/>
              <w:rPr>
                <w:rFonts w:hint="eastAsia"/>
                <w:color w:val="auto"/>
                <w:sz w:val="24"/>
                <w:lang w:val="en-US" w:eastAsia="zh-CN"/>
              </w:rPr>
            </w:pPr>
            <w:r>
              <w:rPr>
                <w:color w:val="auto"/>
                <w:sz w:val="24"/>
              </w:rPr>
              <w:t>本项目500m范围内无自然保护区、风景名胜区</w:t>
            </w:r>
            <w:r>
              <w:rPr>
                <w:rFonts w:hint="eastAsia"/>
                <w:color w:val="auto"/>
                <w:sz w:val="24"/>
                <w:lang w:eastAsia="zh-CN"/>
              </w:rPr>
              <w:t>、</w:t>
            </w:r>
            <w:r>
              <w:rPr>
                <w:rFonts w:hint="eastAsia"/>
                <w:color w:val="auto"/>
                <w:sz w:val="24"/>
                <w:lang w:val="en-US" w:eastAsia="zh-CN"/>
              </w:rPr>
              <w:t>居住区、文化区和农村地区中人群较集中的区域。</w:t>
            </w:r>
          </w:p>
          <w:p>
            <w:pPr>
              <w:adjustRightInd w:val="0"/>
              <w:snapToGrid w:val="0"/>
              <w:spacing w:line="360" w:lineRule="auto"/>
              <w:ind w:firstLine="482" w:firstLineChars="200"/>
              <w:jc w:val="left"/>
              <w:rPr>
                <w:b/>
                <w:bCs/>
                <w:color w:val="auto"/>
                <w:sz w:val="24"/>
              </w:rPr>
            </w:pPr>
            <w:r>
              <w:rPr>
                <w:b/>
                <w:bCs/>
                <w:color w:val="auto"/>
                <w:sz w:val="24"/>
              </w:rPr>
              <w:t>2、声环境</w:t>
            </w:r>
          </w:p>
          <w:p>
            <w:pPr>
              <w:adjustRightInd w:val="0"/>
              <w:snapToGrid w:val="0"/>
              <w:spacing w:line="360" w:lineRule="auto"/>
              <w:ind w:firstLine="480" w:firstLineChars="200"/>
              <w:jc w:val="left"/>
              <w:rPr>
                <w:color w:val="auto"/>
                <w:sz w:val="24"/>
              </w:rPr>
            </w:pPr>
            <w:r>
              <w:rPr>
                <w:color w:val="auto"/>
                <w:sz w:val="24"/>
              </w:rPr>
              <w:t>本项目50m范围内</w:t>
            </w:r>
            <w:r>
              <w:rPr>
                <w:rFonts w:hint="eastAsia"/>
                <w:color w:val="auto"/>
                <w:sz w:val="24"/>
                <w:lang w:val="en-US" w:eastAsia="zh-CN"/>
              </w:rPr>
              <w:t>无</w:t>
            </w:r>
            <w:r>
              <w:rPr>
                <w:color w:val="auto"/>
                <w:sz w:val="24"/>
              </w:rPr>
              <w:t>声环境环保目标。</w:t>
            </w:r>
          </w:p>
          <w:p>
            <w:pPr>
              <w:adjustRightInd w:val="0"/>
              <w:snapToGrid w:val="0"/>
              <w:spacing w:line="360" w:lineRule="auto"/>
              <w:ind w:firstLine="482" w:firstLineChars="200"/>
              <w:jc w:val="left"/>
              <w:rPr>
                <w:b/>
                <w:bCs/>
                <w:color w:val="auto"/>
                <w:sz w:val="24"/>
              </w:rPr>
            </w:pPr>
            <w:r>
              <w:rPr>
                <w:b/>
                <w:bCs/>
                <w:color w:val="auto"/>
                <w:sz w:val="24"/>
              </w:rPr>
              <w:t>3、地下水环境</w:t>
            </w:r>
          </w:p>
          <w:p>
            <w:pPr>
              <w:adjustRightInd w:val="0"/>
              <w:snapToGrid w:val="0"/>
              <w:spacing w:line="360" w:lineRule="auto"/>
              <w:ind w:firstLine="480" w:firstLineChars="200"/>
              <w:jc w:val="left"/>
              <w:rPr>
                <w:color w:val="auto"/>
                <w:sz w:val="24"/>
              </w:rPr>
            </w:pPr>
            <w:r>
              <w:rPr>
                <w:color w:val="auto"/>
                <w:sz w:val="24"/>
              </w:rPr>
              <w:t>本项目500m范围内无地下水集中式饮用水水源和热水、矿泉水、温泉等特殊地下水资源。</w:t>
            </w:r>
          </w:p>
          <w:p>
            <w:pPr>
              <w:adjustRightInd w:val="0"/>
              <w:snapToGrid w:val="0"/>
              <w:spacing w:line="360" w:lineRule="auto"/>
              <w:ind w:firstLine="482" w:firstLineChars="200"/>
              <w:jc w:val="left"/>
              <w:rPr>
                <w:b/>
                <w:bCs/>
                <w:color w:val="auto"/>
                <w:sz w:val="24"/>
              </w:rPr>
            </w:pPr>
            <w:r>
              <w:rPr>
                <w:b/>
                <w:bCs/>
                <w:color w:val="auto"/>
                <w:sz w:val="24"/>
              </w:rPr>
              <w:t>4、生态环境</w:t>
            </w:r>
          </w:p>
          <w:p>
            <w:pPr>
              <w:adjustRightInd w:val="0"/>
              <w:snapToGrid w:val="0"/>
              <w:spacing w:line="360" w:lineRule="auto"/>
              <w:ind w:firstLine="480" w:firstLineChars="200"/>
              <w:jc w:val="left"/>
              <w:rPr>
                <w:rFonts w:hint="eastAsia"/>
                <w:color w:val="auto"/>
                <w:sz w:val="24"/>
                <w:lang w:eastAsia="zh-CN"/>
              </w:rPr>
            </w:pPr>
            <w:r>
              <w:rPr>
                <w:color w:val="auto"/>
                <w:sz w:val="24"/>
              </w:rPr>
              <w:t>本项目租赁</w:t>
            </w:r>
            <w:r>
              <w:rPr>
                <w:rFonts w:hint="eastAsia"/>
                <w:color w:val="auto"/>
                <w:sz w:val="24"/>
                <w:lang w:val="en-US" w:eastAsia="zh-CN"/>
              </w:rPr>
              <w:t>秦创原（泾河）智造创新产业园一期16号厂房</w:t>
            </w:r>
            <w:r>
              <w:rPr>
                <w:color w:val="auto"/>
                <w:sz w:val="24"/>
              </w:rPr>
              <w:t>，用地范围内无生态环境保护目标</w:t>
            </w:r>
            <w:r>
              <w:rPr>
                <w:rFonts w:hint="eastAsia"/>
                <w:color w:val="auto"/>
                <w:sz w:val="24"/>
                <w:lang w:eastAsia="zh-CN"/>
              </w:rPr>
              <w:t>。</w:t>
            </w: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rFonts w:hint="eastAsia"/>
                <w:color w:val="auto"/>
                <w:sz w:val="24"/>
                <w:lang w:eastAsia="zh-CN"/>
              </w:rPr>
            </w:pPr>
          </w:p>
          <w:p>
            <w:pPr>
              <w:adjustRightInd w:val="0"/>
              <w:snapToGrid w:val="0"/>
              <w:spacing w:line="360" w:lineRule="auto"/>
              <w:ind w:firstLine="480" w:firstLineChars="200"/>
              <w:jc w:val="left"/>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9" w:hRule="atLeast"/>
          <w:jc w:val="center"/>
        </w:trPr>
        <w:tc>
          <w:tcPr>
            <w:tcW w:w="525" w:type="dxa"/>
            <w:tcMar>
              <w:left w:w="28" w:type="dxa"/>
              <w:right w:w="28" w:type="dxa"/>
            </w:tcMar>
            <w:vAlign w:val="center"/>
          </w:tcPr>
          <w:p>
            <w:pPr>
              <w:adjustRightInd w:val="0"/>
              <w:snapToGrid w:val="0"/>
              <w:jc w:val="center"/>
              <w:rPr>
                <w:b/>
                <w:bCs/>
                <w:color w:val="auto"/>
                <w:kern w:val="0"/>
                <w:sz w:val="24"/>
              </w:rPr>
            </w:pPr>
            <w:r>
              <w:rPr>
                <w:b/>
                <w:bCs/>
                <w:color w:val="auto"/>
                <w:kern w:val="0"/>
                <w:sz w:val="24"/>
              </w:rPr>
              <w:t>污染</w:t>
            </w:r>
          </w:p>
          <w:p>
            <w:pPr>
              <w:adjustRightInd w:val="0"/>
              <w:snapToGrid w:val="0"/>
              <w:jc w:val="center"/>
              <w:rPr>
                <w:b/>
                <w:bCs/>
                <w:color w:val="auto"/>
                <w:kern w:val="0"/>
                <w:sz w:val="24"/>
              </w:rPr>
            </w:pPr>
            <w:r>
              <w:rPr>
                <w:b/>
                <w:bCs/>
                <w:color w:val="auto"/>
                <w:kern w:val="0"/>
                <w:sz w:val="24"/>
              </w:rPr>
              <w:t>物排</w:t>
            </w:r>
          </w:p>
          <w:p>
            <w:pPr>
              <w:adjustRightInd w:val="0"/>
              <w:snapToGrid w:val="0"/>
              <w:jc w:val="center"/>
              <w:rPr>
                <w:b/>
                <w:bCs/>
                <w:color w:val="auto"/>
                <w:kern w:val="0"/>
                <w:sz w:val="24"/>
              </w:rPr>
            </w:pPr>
            <w:r>
              <w:rPr>
                <w:b/>
                <w:bCs/>
                <w:color w:val="auto"/>
                <w:kern w:val="0"/>
                <w:sz w:val="24"/>
              </w:rPr>
              <w:t>放控</w:t>
            </w:r>
          </w:p>
          <w:p>
            <w:pPr>
              <w:adjustRightInd w:val="0"/>
              <w:snapToGrid w:val="0"/>
              <w:jc w:val="center"/>
              <w:rPr>
                <w:b/>
                <w:bCs/>
                <w:color w:val="auto"/>
                <w:kern w:val="0"/>
                <w:sz w:val="24"/>
              </w:rPr>
            </w:pPr>
            <w:r>
              <w:rPr>
                <w:b/>
                <w:bCs/>
                <w:color w:val="auto"/>
                <w:kern w:val="0"/>
                <w:sz w:val="24"/>
              </w:rPr>
              <w:t>制标</w:t>
            </w:r>
          </w:p>
          <w:p>
            <w:pPr>
              <w:adjustRightInd w:val="0"/>
              <w:snapToGrid w:val="0"/>
              <w:jc w:val="center"/>
              <w:rPr>
                <w:b/>
                <w:bCs/>
                <w:color w:val="auto"/>
                <w:kern w:val="0"/>
                <w:sz w:val="24"/>
              </w:rPr>
            </w:pPr>
            <w:r>
              <w:rPr>
                <w:b/>
                <w:bCs/>
                <w:color w:val="auto"/>
                <w:kern w:val="0"/>
                <w:sz w:val="24"/>
              </w:rPr>
              <w:t>准</w:t>
            </w:r>
          </w:p>
        </w:tc>
        <w:tc>
          <w:tcPr>
            <w:tcW w:w="8491" w:type="dxa"/>
            <w:vAlign w:val="center"/>
          </w:tcPr>
          <w:p>
            <w:pPr>
              <w:spacing w:line="360" w:lineRule="auto"/>
              <w:ind w:firstLine="480" w:firstLineChars="200"/>
              <w:rPr>
                <w:color w:val="auto"/>
                <w:sz w:val="24"/>
              </w:rPr>
            </w:pPr>
            <w:r>
              <w:rPr>
                <w:rFonts w:hint="eastAsia"/>
                <w:color w:val="auto"/>
                <w:sz w:val="24"/>
              </w:rPr>
              <w:t>1、废气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运营期非甲烷总烃</w:t>
            </w:r>
            <w:r>
              <w:rPr>
                <w:rFonts w:hint="eastAsia"/>
                <w:color w:val="auto"/>
                <w:sz w:val="24"/>
                <w:szCs w:val="32"/>
                <w:lang w:eastAsia="zh-CN"/>
              </w:rPr>
              <w:t>、</w:t>
            </w:r>
            <w:r>
              <w:rPr>
                <w:rFonts w:hint="eastAsia"/>
                <w:color w:val="auto"/>
                <w:sz w:val="24"/>
                <w:szCs w:val="32"/>
              </w:rPr>
              <w:t>焊接烟尘</w:t>
            </w:r>
            <w:r>
              <w:rPr>
                <w:rFonts w:hint="eastAsia"/>
                <w:color w:val="auto"/>
                <w:sz w:val="24"/>
                <w:szCs w:val="32"/>
                <w:lang w:eastAsia="zh-CN"/>
              </w:rPr>
              <w:t>（</w:t>
            </w:r>
            <w:r>
              <w:rPr>
                <w:rFonts w:hint="eastAsia"/>
                <w:color w:val="auto"/>
                <w:sz w:val="24"/>
                <w:szCs w:val="32"/>
              </w:rPr>
              <w:t>按颗粒物计</w:t>
            </w:r>
            <w:r>
              <w:rPr>
                <w:rFonts w:hint="eastAsia"/>
                <w:color w:val="auto"/>
                <w:sz w:val="24"/>
                <w:szCs w:val="32"/>
                <w:lang w:eastAsia="zh-CN"/>
              </w:rPr>
              <w:t>）、</w:t>
            </w:r>
            <w:r>
              <w:rPr>
                <w:rFonts w:hint="eastAsia"/>
                <w:color w:val="auto"/>
                <w:sz w:val="24"/>
                <w:szCs w:val="32"/>
                <w:lang w:val="en-US" w:eastAsia="zh-CN"/>
              </w:rPr>
              <w:t>锡及其化合物</w:t>
            </w:r>
            <w:r>
              <w:rPr>
                <w:rFonts w:hint="eastAsia"/>
                <w:color w:val="auto"/>
                <w:sz w:val="24"/>
                <w:szCs w:val="32"/>
                <w:lang w:val="en-US" w:eastAsia="zh-CN"/>
              </w:rPr>
              <w:t>有组织</w:t>
            </w:r>
            <w:r>
              <w:rPr>
                <w:rFonts w:hint="eastAsia"/>
                <w:color w:val="auto"/>
                <w:sz w:val="24"/>
                <w:szCs w:val="32"/>
              </w:rPr>
              <w:t>执行《大气污染物综合排放标准》（G</w:t>
            </w:r>
            <w:r>
              <w:rPr>
                <w:color w:val="auto"/>
                <w:sz w:val="24"/>
                <w:szCs w:val="32"/>
              </w:rPr>
              <w:t>B16297-1996</w:t>
            </w:r>
            <w:r>
              <w:rPr>
                <w:rFonts w:hint="eastAsia"/>
                <w:color w:val="auto"/>
                <w:sz w:val="24"/>
                <w:szCs w:val="32"/>
              </w:rPr>
              <w:t>）中</w:t>
            </w:r>
            <w:r>
              <w:rPr>
                <w:color w:val="auto"/>
                <w:sz w:val="24"/>
                <w:szCs w:val="32"/>
              </w:rPr>
              <w:t>2</w:t>
            </w:r>
            <w:r>
              <w:rPr>
                <w:rFonts w:hint="eastAsia"/>
                <w:color w:val="auto"/>
                <w:sz w:val="24"/>
                <w:szCs w:val="32"/>
                <w:lang w:val="en-US" w:eastAsia="zh-CN"/>
              </w:rPr>
              <w:t>5</w:t>
            </w:r>
            <w:r>
              <w:rPr>
                <w:color w:val="auto"/>
                <w:sz w:val="24"/>
                <w:szCs w:val="32"/>
              </w:rPr>
              <w:t>m</w:t>
            </w:r>
            <w:r>
              <w:rPr>
                <w:rFonts w:hint="eastAsia"/>
                <w:color w:val="auto"/>
                <w:sz w:val="24"/>
                <w:szCs w:val="32"/>
              </w:rPr>
              <w:t>高排气筒的二级标准，</w:t>
            </w:r>
            <w:r>
              <w:rPr>
                <w:rFonts w:hint="eastAsia"/>
                <w:color w:val="auto"/>
                <w:sz w:val="24"/>
                <w:szCs w:val="32"/>
                <w:lang w:val="en-US" w:eastAsia="zh-CN"/>
              </w:rPr>
              <w:t>非甲烷总烃和颗粒物厂界无组织</w:t>
            </w:r>
            <w:r>
              <w:rPr>
                <w:rFonts w:hint="eastAsia"/>
                <w:color w:val="auto"/>
                <w:sz w:val="24"/>
                <w:szCs w:val="32"/>
              </w:rPr>
              <w:t>执行《大气污染物综合排放标准》（G</w:t>
            </w:r>
            <w:r>
              <w:rPr>
                <w:color w:val="auto"/>
                <w:sz w:val="24"/>
                <w:szCs w:val="32"/>
              </w:rPr>
              <w:t>B16297-1996</w:t>
            </w:r>
            <w:r>
              <w:rPr>
                <w:rFonts w:hint="eastAsia"/>
                <w:color w:val="auto"/>
                <w:sz w:val="24"/>
                <w:szCs w:val="32"/>
              </w:rPr>
              <w:t>）中</w:t>
            </w:r>
            <w:r>
              <w:rPr>
                <w:rFonts w:hint="eastAsia"/>
                <w:color w:val="auto"/>
                <w:sz w:val="24"/>
                <w:szCs w:val="32"/>
                <w:lang w:val="en-US" w:eastAsia="zh-CN"/>
              </w:rPr>
              <w:t>无组织排放监控点浓度限值</w:t>
            </w:r>
            <w:r>
              <w:rPr>
                <w:rFonts w:hint="eastAsia"/>
                <w:color w:val="auto"/>
                <w:sz w:val="24"/>
                <w:szCs w:val="32"/>
              </w:rPr>
              <w:t>。具体标准值见表3</w:t>
            </w:r>
            <w:r>
              <w:rPr>
                <w:color w:val="auto"/>
                <w:sz w:val="24"/>
                <w:szCs w:val="32"/>
              </w:rPr>
              <w:t>-</w:t>
            </w:r>
            <w:r>
              <w:rPr>
                <w:rFonts w:hint="eastAsia"/>
                <w:color w:val="auto"/>
                <w:sz w:val="24"/>
                <w:szCs w:val="32"/>
                <w:lang w:val="en-US" w:eastAsia="zh-CN"/>
              </w:rPr>
              <w:t>5</w:t>
            </w:r>
            <w:r>
              <w:rPr>
                <w:rFonts w:hint="eastAsia"/>
                <w:color w:val="auto"/>
                <w:sz w:val="24"/>
                <w:szCs w:val="32"/>
              </w:rPr>
              <w:t>。</w:t>
            </w:r>
          </w:p>
          <w:p>
            <w:pPr>
              <w:pStyle w:val="81"/>
              <w:spacing w:line="240" w:lineRule="auto"/>
              <w:rPr>
                <w:rFonts w:eastAsia="宋体"/>
                <w:b/>
                <w:bCs/>
                <w:color w:val="auto"/>
                <w:szCs w:val="21"/>
              </w:rPr>
            </w:pPr>
            <w:r>
              <w:rPr>
                <w:rFonts w:hint="eastAsia" w:eastAsia="宋体"/>
                <w:b/>
                <w:bCs/>
                <w:color w:val="auto"/>
                <w:szCs w:val="21"/>
              </w:rPr>
              <w:t>表</w:t>
            </w:r>
            <w:r>
              <w:rPr>
                <w:rFonts w:eastAsia="宋体"/>
                <w:b/>
                <w:bCs/>
                <w:color w:val="auto"/>
                <w:szCs w:val="21"/>
              </w:rPr>
              <w:t>3-</w:t>
            </w:r>
            <w:r>
              <w:rPr>
                <w:rFonts w:hint="eastAsia" w:eastAsia="宋体"/>
                <w:b/>
                <w:bCs/>
                <w:color w:val="auto"/>
                <w:szCs w:val="21"/>
                <w:lang w:val="en-US" w:eastAsia="zh-CN"/>
              </w:rPr>
              <w:t>5</w:t>
            </w:r>
            <w:r>
              <w:rPr>
                <w:rFonts w:hint="eastAsia" w:eastAsia="宋体"/>
                <w:b/>
                <w:bCs/>
                <w:color w:val="auto"/>
                <w:szCs w:val="21"/>
              </w:rPr>
              <w:t xml:space="preserve">   运营期废气排放标准   </w:t>
            </w:r>
          </w:p>
          <w:tbl>
            <w:tblPr>
              <w:tblStyle w:val="29"/>
              <w:tblW w:w="800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198"/>
              <w:gridCol w:w="1479"/>
              <w:gridCol w:w="1664"/>
              <w:gridCol w:w="26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标准限值</w:t>
                  </w:r>
                </w:p>
              </w:tc>
              <w:tc>
                <w:tcPr>
                  <w:tcW w:w="166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监控位置</w:t>
                  </w:r>
                </w:p>
              </w:tc>
              <w:tc>
                <w:tcPr>
                  <w:tcW w:w="265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非甲烷总烃（有组织）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21.75kg/h</w:t>
                  </w:r>
                </w:p>
              </w:tc>
              <w:tc>
                <w:tcPr>
                  <w:tcW w:w="1664"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车间或生产设施排气筒</w:t>
                  </w:r>
                </w:p>
              </w:tc>
              <w:tc>
                <w:tcPr>
                  <w:tcW w:w="2659"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color w:val="auto"/>
                      <w:sz w:val="21"/>
                      <w:szCs w:val="21"/>
                    </w:rPr>
                    <w:t>《大气污染物综合排放标准》（G</w:t>
                  </w:r>
                  <w:r>
                    <w:rPr>
                      <w:color w:val="auto"/>
                      <w:sz w:val="21"/>
                      <w:szCs w:val="21"/>
                    </w:rPr>
                    <w:t>B16297-1996</w:t>
                  </w:r>
                  <w:r>
                    <w:rPr>
                      <w:rFonts w:hint="eastAsia"/>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120mg/m</w:t>
                  </w:r>
                  <w:r>
                    <w:rPr>
                      <w:rFonts w:hint="eastAsia" w:cs="Times New Roman"/>
                      <w:color w:val="auto"/>
                      <w:sz w:val="21"/>
                      <w:szCs w:val="21"/>
                      <w:vertAlign w:val="superscript"/>
                      <w:lang w:val="en-US" w:eastAsia="zh-CN"/>
                    </w:rPr>
                    <w:t>3</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锡及其化合物（有组织）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0.58kg/h</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8.5mg/m</w:t>
                  </w:r>
                  <w:r>
                    <w:rPr>
                      <w:rFonts w:hint="eastAsia" w:cs="Times New Roman"/>
                      <w:color w:val="auto"/>
                      <w:sz w:val="21"/>
                      <w:szCs w:val="21"/>
                      <w:vertAlign w:val="superscript"/>
                      <w:lang w:val="en-US" w:eastAsia="zh-CN"/>
                    </w:rPr>
                    <w:t>3</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198"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颗粒物（有组织）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8.7kg/h</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198"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lang w:val="en-US" w:eastAsia="zh-CN"/>
                    </w:rPr>
                  </w:pP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120mg/m</w:t>
                  </w:r>
                  <w:r>
                    <w:rPr>
                      <w:rFonts w:hint="eastAsia" w:cs="Times New Roman"/>
                      <w:color w:val="auto"/>
                      <w:sz w:val="21"/>
                      <w:szCs w:val="21"/>
                      <w:vertAlign w:val="superscript"/>
                      <w:lang w:val="en-US" w:eastAsia="zh-CN"/>
                    </w:rPr>
                    <w:t>3</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非甲烷总烃（无组织）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w:t>
                  </w:r>
                  <w:r>
                    <w:rPr>
                      <w:rFonts w:hint="eastAsia" w:cs="Times New Roman"/>
                      <w:color w:val="auto"/>
                      <w:sz w:val="21"/>
                      <w:szCs w:val="21"/>
                      <w:lang w:val="en-US" w:eastAsia="zh-CN"/>
                    </w:rPr>
                    <w:t>mg/m</w:t>
                  </w:r>
                  <w:r>
                    <w:rPr>
                      <w:rFonts w:hint="eastAsia" w:cs="Times New Roman"/>
                      <w:color w:val="auto"/>
                      <w:sz w:val="21"/>
                      <w:szCs w:val="21"/>
                      <w:vertAlign w:val="superscript"/>
                      <w:lang w:val="en-US" w:eastAsia="zh-CN"/>
                    </w:rPr>
                    <w:t>3</w:t>
                  </w:r>
                </w:p>
              </w:tc>
              <w:tc>
                <w:tcPr>
                  <w:tcW w:w="1664"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周界外浓度最高点</w:t>
                  </w: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锡及其化合物</w:t>
                  </w:r>
                  <w:r>
                    <w:rPr>
                      <w:rFonts w:hint="default" w:ascii="Times New Roman" w:hAnsi="Times New Roman" w:eastAsia="宋体" w:cs="Times New Roman"/>
                      <w:color w:val="auto"/>
                      <w:sz w:val="21"/>
                      <w:szCs w:val="21"/>
                    </w:rPr>
                    <w:t>（无组织）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4.0</w:t>
                  </w:r>
                  <w:r>
                    <w:rPr>
                      <w:rFonts w:hint="eastAsia" w:cs="Times New Roman"/>
                      <w:color w:val="auto"/>
                      <w:sz w:val="21"/>
                      <w:szCs w:val="21"/>
                      <w:lang w:val="en-US" w:eastAsia="zh-CN"/>
                    </w:rPr>
                    <w:t>mg/m</w:t>
                  </w:r>
                  <w:r>
                    <w:rPr>
                      <w:rFonts w:hint="eastAsia" w:cs="Times New Roman"/>
                      <w:color w:val="auto"/>
                      <w:sz w:val="21"/>
                      <w:szCs w:val="21"/>
                      <w:vertAlign w:val="superscript"/>
                      <w:lang w:val="en-US" w:eastAsia="zh-CN"/>
                    </w:rPr>
                    <w:t>3</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 w:val="21"/>
                      <w:szCs w:val="21"/>
                      <w:lang w:val="en-US" w:eastAsia="zh-CN"/>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颗粒物（无组织）</w:t>
                  </w:r>
                </w:p>
              </w:tc>
              <w:tc>
                <w:tcPr>
                  <w:tcW w:w="14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r>
                    <w:rPr>
                      <w:rFonts w:hint="eastAsia" w:cs="Times New Roman"/>
                      <w:color w:val="auto"/>
                      <w:sz w:val="21"/>
                      <w:szCs w:val="21"/>
                      <w:lang w:val="en-US" w:eastAsia="zh-CN"/>
                    </w:rPr>
                    <w:t>mg/m</w:t>
                  </w:r>
                  <w:r>
                    <w:rPr>
                      <w:rFonts w:hint="eastAsia" w:cs="Times New Roman"/>
                      <w:color w:val="auto"/>
                      <w:sz w:val="21"/>
                      <w:szCs w:val="21"/>
                      <w:vertAlign w:val="superscript"/>
                      <w:lang w:val="en-US" w:eastAsia="zh-CN"/>
                    </w:rPr>
                    <w:t>3</w:t>
                  </w:r>
                </w:p>
              </w:tc>
              <w:tc>
                <w:tcPr>
                  <w:tcW w:w="1664"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c>
                <w:tcPr>
                  <w:tcW w:w="265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rPr>
                  </w:pPr>
                </w:p>
              </w:tc>
            </w:tr>
          </w:tbl>
          <w:p>
            <w:pPr>
              <w:widowControl/>
              <w:adjustRightInd w:val="0"/>
              <w:snapToGrid w:val="0"/>
              <w:spacing w:line="240" w:lineRule="auto"/>
              <w:ind w:firstLine="402" w:firstLineChars="200"/>
              <w:jc w:val="left"/>
              <w:rPr>
                <w:b/>
                <w:bCs/>
                <w:color w:val="auto"/>
                <w:sz w:val="20"/>
                <w:szCs w:val="20"/>
              </w:rPr>
            </w:pPr>
            <w:r>
              <w:rPr>
                <w:rFonts w:hint="eastAsia"/>
                <w:b/>
                <w:bCs/>
                <w:color w:val="auto"/>
                <w:sz w:val="20"/>
                <w:szCs w:val="20"/>
              </w:rPr>
              <w:t>备注：①</w:t>
            </w:r>
            <w:r>
              <w:rPr>
                <w:rFonts w:hint="eastAsia"/>
                <w:b/>
                <w:bCs/>
                <w:color w:val="auto"/>
                <w:sz w:val="20"/>
                <w:szCs w:val="20"/>
                <w:lang w:val="en-US" w:eastAsia="zh-CN"/>
              </w:rPr>
              <w:t>20</w:t>
            </w:r>
            <w:r>
              <w:rPr>
                <w:rFonts w:hint="eastAsia"/>
                <w:b/>
                <w:bCs/>
                <w:color w:val="auto"/>
                <w:sz w:val="20"/>
                <w:szCs w:val="20"/>
              </w:rPr>
              <w:t>m高排气筒</w:t>
            </w:r>
            <w:r>
              <w:rPr>
                <w:rFonts w:hint="eastAsia"/>
                <w:b/>
                <w:bCs/>
                <w:color w:val="auto"/>
                <w:sz w:val="20"/>
                <w:szCs w:val="20"/>
                <w:lang w:val="en-US" w:eastAsia="zh-CN"/>
              </w:rPr>
              <w:t>非甲烷总烃</w:t>
            </w:r>
            <w:r>
              <w:rPr>
                <w:rFonts w:hint="eastAsia"/>
                <w:b/>
                <w:bCs/>
                <w:color w:val="auto"/>
                <w:sz w:val="20"/>
                <w:szCs w:val="20"/>
              </w:rPr>
              <w:t>排放速率标准值为</w:t>
            </w:r>
            <w:r>
              <w:rPr>
                <w:rFonts w:hint="eastAsia"/>
                <w:b/>
                <w:bCs/>
                <w:color w:val="auto"/>
                <w:sz w:val="20"/>
                <w:szCs w:val="20"/>
                <w:lang w:val="en-US" w:eastAsia="zh-CN"/>
              </w:rPr>
              <w:t>17</w:t>
            </w:r>
            <w:r>
              <w:rPr>
                <w:rFonts w:hint="eastAsia"/>
                <w:b/>
                <w:bCs/>
                <w:color w:val="auto"/>
                <w:sz w:val="20"/>
                <w:szCs w:val="20"/>
              </w:rPr>
              <w:t>kg/h</w:t>
            </w:r>
            <w:r>
              <w:rPr>
                <w:rFonts w:hint="eastAsia"/>
                <w:b/>
                <w:bCs/>
                <w:color w:val="auto"/>
                <w:sz w:val="20"/>
                <w:szCs w:val="20"/>
                <w:lang w:eastAsia="zh-CN"/>
              </w:rPr>
              <w:t>、</w:t>
            </w:r>
            <w:r>
              <w:rPr>
                <w:rFonts w:hint="eastAsia"/>
                <w:b/>
                <w:bCs/>
                <w:color w:val="auto"/>
                <w:sz w:val="20"/>
                <w:szCs w:val="20"/>
                <w:lang w:val="en-US" w:eastAsia="zh-CN"/>
              </w:rPr>
              <w:t>30</w:t>
            </w:r>
            <w:r>
              <w:rPr>
                <w:rFonts w:hint="eastAsia"/>
                <w:b/>
                <w:bCs/>
                <w:color w:val="auto"/>
                <w:sz w:val="20"/>
                <w:szCs w:val="20"/>
              </w:rPr>
              <w:t>m高排气筒</w:t>
            </w:r>
            <w:r>
              <w:rPr>
                <w:rFonts w:hint="eastAsia"/>
                <w:b/>
                <w:bCs/>
                <w:color w:val="auto"/>
                <w:sz w:val="20"/>
                <w:szCs w:val="20"/>
                <w:lang w:val="en-US" w:eastAsia="zh-CN"/>
              </w:rPr>
              <w:t>非甲烷总烃</w:t>
            </w:r>
            <w:r>
              <w:rPr>
                <w:rFonts w:hint="eastAsia"/>
                <w:b/>
                <w:bCs/>
                <w:color w:val="auto"/>
                <w:sz w:val="20"/>
                <w:szCs w:val="20"/>
              </w:rPr>
              <w:t>排放速率标准值为</w:t>
            </w:r>
            <w:r>
              <w:rPr>
                <w:rFonts w:hint="eastAsia"/>
                <w:b/>
                <w:bCs/>
                <w:color w:val="auto"/>
                <w:sz w:val="20"/>
                <w:szCs w:val="20"/>
                <w:lang w:val="en-US" w:eastAsia="zh-CN"/>
              </w:rPr>
              <w:t>30</w:t>
            </w:r>
            <w:r>
              <w:rPr>
                <w:rFonts w:hint="eastAsia"/>
                <w:b/>
                <w:bCs/>
                <w:color w:val="auto"/>
                <w:sz w:val="20"/>
                <w:szCs w:val="20"/>
              </w:rPr>
              <w:t>kg/h，根据</w:t>
            </w:r>
            <w:r>
              <w:rPr>
                <w:rFonts w:hint="eastAsia"/>
                <w:b/>
                <w:bCs/>
                <w:color w:val="auto"/>
                <w:sz w:val="20"/>
                <w:szCs w:val="20"/>
                <w:lang w:val="en-US" w:eastAsia="zh-CN"/>
              </w:rPr>
              <w:t>内插法</w:t>
            </w:r>
            <w:r>
              <w:rPr>
                <w:rFonts w:hint="eastAsia"/>
                <w:b/>
                <w:bCs/>
                <w:color w:val="auto"/>
                <w:sz w:val="20"/>
                <w:szCs w:val="20"/>
              </w:rPr>
              <w:t>计算</w:t>
            </w:r>
            <w:r>
              <w:rPr>
                <w:rFonts w:hint="eastAsia"/>
                <w:b/>
                <w:bCs/>
                <w:color w:val="auto"/>
                <w:sz w:val="20"/>
                <w:szCs w:val="20"/>
                <w:lang w:val="en-US" w:eastAsia="zh-CN"/>
              </w:rPr>
              <w:t>25</w:t>
            </w:r>
            <w:r>
              <w:rPr>
                <w:rFonts w:hint="eastAsia"/>
                <w:b/>
                <w:bCs/>
                <w:color w:val="auto"/>
                <w:sz w:val="20"/>
                <w:szCs w:val="20"/>
              </w:rPr>
              <w:t>m高排气筒排放速率=</w:t>
            </w:r>
            <w:r>
              <w:rPr>
                <w:rFonts w:hint="eastAsia"/>
                <w:b/>
                <w:bCs/>
                <w:color w:val="auto"/>
                <w:sz w:val="20"/>
                <w:szCs w:val="20"/>
                <w:lang w:val="en-US" w:eastAsia="zh-CN"/>
              </w:rPr>
              <w:t>43.5</w:t>
            </w:r>
            <w:r>
              <w:rPr>
                <w:rFonts w:hint="eastAsia"/>
                <w:b/>
                <w:bCs/>
                <w:color w:val="auto"/>
                <w:sz w:val="20"/>
                <w:szCs w:val="20"/>
              </w:rPr>
              <w:t>kg/h，</w:t>
            </w:r>
            <w:r>
              <w:rPr>
                <w:rFonts w:hint="eastAsia"/>
                <w:b/>
                <w:bCs/>
                <w:color w:val="auto"/>
                <w:sz w:val="20"/>
                <w:szCs w:val="20"/>
                <w:lang w:val="en-US" w:eastAsia="zh-CN"/>
              </w:rPr>
              <w:t>因厂房高24m，排气筒高度未超过厂房高度5m以上，应</w:t>
            </w:r>
            <w:r>
              <w:rPr>
                <w:rFonts w:hint="eastAsia"/>
                <w:b/>
                <w:bCs/>
                <w:color w:val="auto"/>
                <w:sz w:val="20"/>
                <w:szCs w:val="20"/>
              </w:rPr>
              <w:t>严格50%后的排放速率为</w:t>
            </w:r>
            <w:r>
              <w:rPr>
                <w:rFonts w:hint="eastAsia"/>
                <w:b/>
                <w:bCs/>
                <w:color w:val="auto"/>
                <w:sz w:val="20"/>
                <w:szCs w:val="20"/>
                <w:lang w:val="en-US" w:eastAsia="zh-CN"/>
              </w:rPr>
              <w:t>21.75</w:t>
            </w:r>
            <w:r>
              <w:rPr>
                <w:rFonts w:hint="eastAsia"/>
                <w:b/>
                <w:bCs/>
                <w:color w:val="auto"/>
                <w:sz w:val="20"/>
                <w:szCs w:val="20"/>
              </w:rPr>
              <w:t>kg/h，则本项目</w:t>
            </w:r>
            <w:r>
              <w:rPr>
                <w:rFonts w:hint="eastAsia"/>
                <w:b/>
                <w:bCs/>
                <w:color w:val="auto"/>
                <w:sz w:val="20"/>
                <w:szCs w:val="20"/>
                <w:lang w:val="en-US" w:eastAsia="zh-CN"/>
              </w:rPr>
              <w:t>25</w:t>
            </w:r>
            <w:r>
              <w:rPr>
                <w:rFonts w:hint="eastAsia"/>
                <w:b/>
                <w:bCs/>
                <w:color w:val="auto"/>
                <w:sz w:val="20"/>
                <w:szCs w:val="20"/>
              </w:rPr>
              <w:t>m高排气筒</w:t>
            </w:r>
            <w:r>
              <w:rPr>
                <w:rFonts w:hint="eastAsia"/>
                <w:b/>
                <w:bCs/>
                <w:color w:val="auto"/>
                <w:sz w:val="20"/>
                <w:szCs w:val="20"/>
                <w:lang w:val="en-US" w:eastAsia="zh-CN"/>
              </w:rPr>
              <w:t>非甲烷总烃</w:t>
            </w:r>
            <w:r>
              <w:rPr>
                <w:rFonts w:hint="eastAsia"/>
                <w:b/>
                <w:bCs/>
                <w:color w:val="auto"/>
                <w:sz w:val="20"/>
                <w:szCs w:val="20"/>
              </w:rPr>
              <w:t>排放速率执行</w:t>
            </w:r>
            <w:r>
              <w:rPr>
                <w:rFonts w:hint="eastAsia"/>
                <w:b/>
                <w:bCs/>
                <w:color w:val="auto"/>
                <w:sz w:val="20"/>
                <w:szCs w:val="20"/>
                <w:lang w:val="en-US" w:eastAsia="zh-CN"/>
              </w:rPr>
              <w:t>21.75</w:t>
            </w:r>
            <w:r>
              <w:rPr>
                <w:rFonts w:hint="eastAsia"/>
                <w:b/>
                <w:bCs/>
                <w:color w:val="auto"/>
                <w:sz w:val="20"/>
                <w:szCs w:val="20"/>
              </w:rPr>
              <w:t>kg/h标准值；</w:t>
            </w:r>
          </w:p>
          <w:p>
            <w:pPr>
              <w:widowControl/>
              <w:adjustRightInd w:val="0"/>
              <w:snapToGrid w:val="0"/>
              <w:spacing w:before="120" w:beforeLines="50" w:line="240" w:lineRule="auto"/>
              <w:ind w:firstLine="402" w:firstLineChars="200"/>
              <w:jc w:val="left"/>
              <w:rPr>
                <w:rFonts w:hint="eastAsia" w:eastAsia="宋体"/>
                <w:b/>
                <w:bCs/>
                <w:color w:val="auto"/>
                <w:sz w:val="20"/>
                <w:szCs w:val="20"/>
                <w:lang w:eastAsia="zh-CN"/>
              </w:rPr>
            </w:pPr>
            <w:r>
              <w:rPr>
                <w:rFonts w:hint="eastAsia"/>
                <w:b/>
                <w:bCs/>
                <w:color w:val="auto"/>
                <w:sz w:val="20"/>
                <w:szCs w:val="20"/>
              </w:rPr>
              <w:t>②</w:t>
            </w:r>
            <w:r>
              <w:rPr>
                <w:rFonts w:hint="eastAsia"/>
                <w:b/>
                <w:bCs/>
                <w:color w:val="auto"/>
                <w:sz w:val="20"/>
                <w:szCs w:val="20"/>
                <w:lang w:val="en-US" w:eastAsia="zh-CN"/>
              </w:rPr>
              <w:t>20</w:t>
            </w:r>
            <w:r>
              <w:rPr>
                <w:rFonts w:hint="eastAsia"/>
                <w:b/>
                <w:bCs/>
                <w:color w:val="auto"/>
                <w:sz w:val="20"/>
                <w:szCs w:val="20"/>
              </w:rPr>
              <w:t>m高排气筒</w:t>
            </w:r>
            <w:r>
              <w:rPr>
                <w:rFonts w:hint="eastAsia"/>
                <w:b/>
                <w:bCs/>
                <w:color w:val="auto"/>
                <w:sz w:val="20"/>
                <w:szCs w:val="20"/>
                <w:lang w:val="en-US" w:eastAsia="zh-CN"/>
              </w:rPr>
              <w:t>颗粒物</w:t>
            </w:r>
            <w:r>
              <w:rPr>
                <w:rFonts w:hint="eastAsia"/>
                <w:b/>
                <w:bCs/>
                <w:color w:val="auto"/>
                <w:sz w:val="20"/>
                <w:szCs w:val="20"/>
              </w:rPr>
              <w:t>排放速率标准值为</w:t>
            </w:r>
            <w:r>
              <w:rPr>
                <w:rFonts w:hint="eastAsia"/>
                <w:b/>
                <w:bCs/>
                <w:color w:val="auto"/>
                <w:sz w:val="20"/>
                <w:szCs w:val="20"/>
                <w:lang w:val="en-US" w:eastAsia="zh-CN"/>
              </w:rPr>
              <w:t>5.9</w:t>
            </w:r>
            <w:r>
              <w:rPr>
                <w:rFonts w:hint="eastAsia"/>
                <w:b/>
                <w:bCs/>
                <w:color w:val="auto"/>
                <w:sz w:val="20"/>
                <w:szCs w:val="20"/>
              </w:rPr>
              <w:t>kg/h</w:t>
            </w:r>
            <w:r>
              <w:rPr>
                <w:rFonts w:hint="eastAsia"/>
                <w:b/>
                <w:bCs/>
                <w:color w:val="auto"/>
                <w:sz w:val="20"/>
                <w:szCs w:val="20"/>
                <w:lang w:eastAsia="zh-CN"/>
              </w:rPr>
              <w:t>、</w:t>
            </w:r>
            <w:r>
              <w:rPr>
                <w:rFonts w:hint="eastAsia"/>
                <w:b/>
                <w:bCs/>
                <w:color w:val="auto"/>
                <w:sz w:val="20"/>
                <w:szCs w:val="20"/>
                <w:lang w:val="en-US" w:eastAsia="zh-CN"/>
              </w:rPr>
              <w:t>30</w:t>
            </w:r>
            <w:r>
              <w:rPr>
                <w:rFonts w:hint="eastAsia"/>
                <w:b/>
                <w:bCs/>
                <w:color w:val="auto"/>
                <w:sz w:val="20"/>
                <w:szCs w:val="20"/>
              </w:rPr>
              <w:t>m高排气筒</w:t>
            </w:r>
            <w:r>
              <w:rPr>
                <w:rFonts w:hint="eastAsia"/>
                <w:b/>
                <w:bCs/>
                <w:color w:val="auto"/>
                <w:sz w:val="20"/>
                <w:szCs w:val="20"/>
                <w:lang w:val="en-US" w:eastAsia="zh-CN"/>
              </w:rPr>
              <w:t>颗粒物</w:t>
            </w:r>
            <w:r>
              <w:rPr>
                <w:rFonts w:hint="eastAsia"/>
                <w:b/>
                <w:bCs/>
                <w:color w:val="auto"/>
                <w:sz w:val="20"/>
                <w:szCs w:val="20"/>
              </w:rPr>
              <w:t>排放速率标准值为</w:t>
            </w:r>
            <w:r>
              <w:rPr>
                <w:rFonts w:hint="eastAsia"/>
                <w:b/>
                <w:bCs/>
                <w:color w:val="auto"/>
                <w:sz w:val="20"/>
                <w:szCs w:val="20"/>
                <w:lang w:val="en-US" w:eastAsia="zh-CN"/>
              </w:rPr>
              <w:t>23</w:t>
            </w:r>
            <w:r>
              <w:rPr>
                <w:rFonts w:hint="eastAsia"/>
                <w:b/>
                <w:bCs/>
                <w:color w:val="auto"/>
                <w:sz w:val="20"/>
                <w:szCs w:val="20"/>
              </w:rPr>
              <w:t>kg/h，根据</w:t>
            </w:r>
            <w:r>
              <w:rPr>
                <w:rFonts w:hint="eastAsia"/>
                <w:b/>
                <w:bCs/>
                <w:color w:val="auto"/>
                <w:sz w:val="20"/>
                <w:szCs w:val="20"/>
                <w:lang w:val="en-US" w:eastAsia="zh-CN"/>
              </w:rPr>
              <w:t>内插法</w:t>
            </w:r>
            <w:r>
              <w:rPr>
                <w:rFonts w:hint="eastAsia"/>
                <w:b/>
                <w:bCs/>
                <w:color w:val="auto"/>
                <w:sz w:val="20"/>
                <w:szCs w:val="20"/>
              </w:rPr>
              <w:t>计算</w:t>
            </w:r>
            <w:r>
              <w:rPr>
                <w:rFonts w:hint="eastAsia"/>
                <w:b/>
                <w:bCs/>
                <w:color w:val="auto"/>
                <w:sz w:val="20"/>
                <w:szCs w:val="20"/>
                <w:lang w:val="en-US" w:eastAsia="zh-CN"/>
              </w:rPr>
              <w:t>25</w:t>
            </w:r>
            <w:r>
              <w:rPr>
                <w:rFonts w:hint="eastAsia"/>
                <w:b/>
                <w:bCs/>
                <w:color w:val="auto"/>
                <w:sz w:val="20"/>
                <w:szCs w:val="20"/>
              </w:rPr>
              <w:t>m高排气筒排放速率=</w:t>
            </w:r>
            <w:r>
              <w:rPr>
                <w:rFonts w:hint="eastAsia"/>
                <w:b/>
                <w:bCs/>
                <w:color w:val="auto"/>
                <w:sz w:val="20"/>
                <w:szCs w:val="20"/>
                <w:lang w:val="en-US" w:eastAsia="zh-CN"/>
              </w:rPr>
              <w:t>17.4</w:t>
            </w:r>
            <w:r>
              <w:rPr>
                <w:rFonts w:hint="eastAsia"/>
                <w:b/>
                <w:bCs/>
                <w:color w:val="auto"/>
                <w:sz w:val="20"/>
                <w:szCs w:val="20"/>
              </w:rPr>
              <w:t>kg/h，</w:t>
            </w:r>
            <w:r>
              <w:rPr>
                <w:rFonts w:hint="eastAsia"/>
                <w:b/>
                <w:bCs/>
                <w:color w:val="auto"/>
                <w:sz w:val="20"/>
                <w:szCs w:val="20"/>
                <w:lang w:val="en-US" w:eastAsia="zh-CN"/>
              </w:rPr>
              <w:t>因厂房高24m，排气筒高度未超过厂房高度5m以上，应</w:t>
            </w:r>
            <w:r>
              <w:rPr>
                <w:rFonts w:hint="eastAsia"/>
                <w:b/>
                <w:bCs/>
                <w:color w:val="auto"/>
                <w:sz w:val="20"/>
                <w:szCs w:val="20"/>
              </w:rPr>
              <w:t>严格50%后的排放速率为</w:t>
            </w:r>
            <w:r>
              <w:rPr>
                <w:rFonts w:hint="eastAsia"/>
                <w:b/>
                <w:bCs/>
                <w:color w:val="auto"/>
                <w:sz w:val="20"/>
                <w:szCs w:val="20"/>
                <w:lang w:val="en-US" w:eastAsia="zh-CN"/>
              </w:rPr>
              <w:t>8.7</w:t>
            </w:r>
            <w:r>
              <w:rPr>
                <w:rFonts w:hint="eastAsia"/>
                <w:b/>
                <w:bCs/>
                <w:color w:val="auto"/>
                <w:sz w:val="20"/>
                <w:szCs w:val="20"/>
              </w:rPr>
              <w:t>kg/h，则本项目</w:t>
            </w:r>
            <w:r>
              <w:rPr>
                <w:rFonts w:hint="eastAsia"/>
                <w:b/>
                <w:bCs/>
                <w:color w:val="auto"/>
                <w:sz w:val="20"/>
                <w:szCs w:val="20"/>
                <w:lang w:val="en-US" w:eastAsia="zh-CN"/>
              </w:rPr>
              <w:t>25</w:t>
            </w:r>
            <w:r>
              <w:rPr>
                <w:rFonts w:hint="eastAsia"/>
                <w:b/>
                <w:bCs/>
                <w:color w:val="auto"/>
                <w:sz w:val="20"/>
                <w:szCs w:val="20"/>
              </w:rPr>
              <w:t>m高排气筒</w:t>
            </w:r>
            <w:r>
              <w:rPr>
                <w:rFonts w:hint="eastAsia"/>
                <w:b/>
                <w:bCs/>
                <w:color w:val="auto"/>
                <w:sz w:val="20"/>
                <w:szCs w:val="20"/>
                <w:lang w:val="en-US" w:eastAsia="zh-CN"/>
              </w:rPr>
              <w:t>颗粒物</w:t>
            </w:r>
            <w:r>
              <w:rPr>
                <w:rFonts w:hint="eastAsia"/>
                <w:b/>
                <w:bCs/>
                <w:color w:val="auto"/>
                <w:sz w:val="20"/>
                <w:szCs w:val="20"/>
              </w:rPr>
              <w:t>排放速率执行</w:t>
            </w:r>
            <w:r>
              <w:rPr>
                <w:rFonts w:hint="eastAsia"/>
                <w:b/>
                <w:bCs/>
                <w:color w:val="auto"/>
                <w:sz w:val="20"/>
                <w:szCs w:val="20"/>
                <w:lang w:val="en-US" w:eastAsia="zh-CN"/>
              </w:rPr>
              <w:t>8.7</w:t>
            </w:r>
            <w:r>
              <w:rPr>
                <w:rFonts w:hint="eastAsia"/>
                <w:b/>
                <w:bCs/>
                <w:color w:val="auto"/>
                <w:sz w:val="20"/>
                <w:szCs w:val="20"/>
              </w:rPr>
              <w:t>kg/h标准值</w:t>
            </w:r>
            <w:r>
              <w:rPr>
                <w:rFonts w:hint="eastAsia"/>
                <w:b/>
                <w:bCs/>
                <w:color w:val="auto"/>
                <w:sz w:val="20"/>
                <w:szCs w:val="20"/>
                <w:lang w:eastAsia="zh-CN"/>
              </w:rPr>
              <w:t>。</w:t>
            </w:r>
          </w:p>
          <w:p>
            <w:pPr>
              <w:widowControl/>
              <w:adjustRightInd w:val="0"/>
              <w:snapToGrid w:val="0"/>
              <w:spacing w:before="120" w:beforeLines="50" w:line="240" w:lineRule="auto"/>
              <w:ind w:firstLine="402" w:firstLineChars="200"/>
              <w:jc w:val="left"/>
              <w:rPr>
                <w:rFonts w:hint="eastAsia" w:eastAsia="宋体"/>
                <w:b/>
                <w:bCs/>
                <w:color w:val="auto"/>
                <w:sz w:val="20"/>
                <w:szCs w:val="20"/>
                <w:lang w:eastAsia="zh-CN"/>
              </w:rPr>
            </w:pPr>
            <w:r>
              <w:rPr>
                <w:rFonts w:hint="eastAsia"/>
                <w:b/>
                <w:bCs/>
                <w:color w:val="auto"/>
                <w:sz w:val="20"/>
                <w:szCs w:val="20"/>
              </w:rPr>
              <w:t>③</w:t>
            </w:r>
            <w:r>
              <w:rPr>
                <w:rFonts w:hint="eastAsia"/>
                <w:b/>
                <w:bCs/>
                <w:color w:val="auto"/>
                <w:sz w:val="20"/>
                <w:szCs w:val="20"/>
                <w:lang w:val="en-US" w:eastAsia="zh-CN"/>
              </w:rPr>
              <w:t>20</w:t>
            </w:r>
            <w:r>
              <w:rPr>
                <w:rFonts w:hint="eastAsia"/>
                <w:b/>
                <w:bCs/>
                <w:color w:val="auto"/>
                <w:sz w:val="20"/>
                <w:szCs w:val="20"/>
              </w:rPr>
              <w:t>m高排气筒</w:t>
            </w:r>
            <w:r>
              <w:rPr>
                <w:rFonts w:hint="eastAsia"/>
                <w:b/>
                <w:bCs/>
                <w:color w:val="auto"/>
                <w:sz w:val="20"/>
                <w:szCs w:val="20"/>
                <w:lang w:val="en-US" w:eastAsia="zh-CN"/>
              </w:rPr>
              <w:t>锡及其化合物</w:t>
            </w:r>
            <w:r>
              <w:rPr>
                <w:rFonts w:hint="eastAsia"/>
                <w:b/>
                <w:bCs/>
                <w:color w:val="auto"/>
                <w:sz w:val="20"/>
                <w:szCs w:val="20"/>
              </w:rPr>
              <w:t>排放速率标准值为</w:t>
            </w:r>
            <w:r>
              <w:rPr>
                <w:rFonts w:hint="eastAsia"/>
                <w:b/>
                <w:bCs/>
                <w:color w:val="auto"/>
                <w:sz w:val="20"/>
                <w:szCs w:val="20"/>
                <w:lang w:val="en-US" w:eastAsia="zh-CN"/>
              </w:rPr>
              <w:t>0.52</w:t>
            </w:r>
            <w:r>
              <w:rPr>
                <w:rFonts w:hint="eastAsia"/>
                <w:b/>
                <w:bCs/>
                <w:color w:val="auto"/>
                <w:sz w:val="20"/>
                <w:szCs w:val="20"/>
              </w:rPr>
              <w:t>kg/h</w:t>
            </w:r>
            <w:r>
              <w:rPr>
                <w:rFonts w:hint="eastAsia"/>
                <w:b/>
                <w:bCs/>
                <w:color w:val="auto"/>
                <w:sz w:val="20"/>
                <w:szCs w:val="20"/>
                <w:lang w:eastAsia="zh-CN"/>
              </w:rPr>
              <w:t>、</w:t>
            </w:r>
            <w:r>
              <w:rPr>
                <w:rFonts w:hint="eastAsia"/>
                <w:b/>
                <w:bCs/>
                <w:color w:val="auto"/>
                <w:sz w:val="20"/>
                <w:szCs w:val="20"/>
                <w:lang w:val="en-US" w:eastAsia="zh-CN"/>
              </w:rPr>
              <w:t>30</w:t>
            </w:r>
            <w:r>
              <w:rPr>
                <w:rFonts w:hint="eastAsia"/>
                <w:b/>
                <w:bCs/>
                <w:color w:val="auto"/>
                <w:sz w:val="20"/>
                <w:szCs w:val="20"/>
              </w:rPr>
              <w:t>m高排气筒</w:t>
            </w:r>
            <w:r>
              <w:rPr>
                <w:rFonts w:hint="eastAsia"/>
                <w:b/>
                <w:bCs/>
                <w:color w:val="auto"/>
                <w:sz w:val="20"/>
                <w:szCs w:val="20"/>
                <w:lang w:val="en-US" w:eastAsia="zh-CN"/>
              </w:rPr>
              <w:t>锡及其化合物</w:t>
            </w:r>
            <w:r>
              <w:rPr>
                <w:rFonts w:hint="eastAsia"/>
                <w:b/>
                <w:bCs/>
                <w:color w:val="auto"/>
                <w:sz w:val="20"/>
                <w:szCs w:val="20"/>
              </w:rPr>
              <w:t>排放速率标准值为</w:t>
            </w:r>
            <w:r>
              <w:rPr>
                <w:rFonts w:hint="eastAsia"/>
                <w:b/>
                <w:bCs/>
                <w:color w:val="auto"/>
                <w:sz w:val="20"/>
                <w:szCs w:val="20"/>
                <w:lang w:val="en-US" w:eastAsia="zh-CN"/>
              </w:rPr>
              <w:t>1.8</w:t>
            </w:r>
            <w:r>
              <w:rPr>
                <w:rFonts w:hint="eastAsia"/>
                <w:b/>
                <w:bCs/>
                <w:color w:val="auto"/>
                <w:sz w:val="20"/>
                <w:szCs w:val="20"/>
              </w:rPr>
              <w:t>kg/h，根据</w:t>
            </w:r>
            <w:r>
              <w:rPr>
                <w:rFonts w:hint="eastAsia"/>
                <w:b/>
                <w:bCs/>
                <w:color w:val="auto"/>
                <w:sz w:val="20"/>
                <w:szCs w:val="20"/>
                <w:lang w:val="en-US" w:eastAsia="zh-CN"/>
              </w:rPr>
              <w:t>内插法</w:t>
            </w:r>
            <w:r>
              <w:rPr>
                <w:rFonts w:hint="eastAsia"/>
                <w:b/>
                <w:bCs/>
                <w:color w:val="auto"/>
                <w:sz w:val="20"/>
                <w:szCs w:val="20"/>
              </w:rPr>
              <w:t>计算</w:t>
            </w:r>
            <w:r>
              <w:rPr>
                <w:rFonts w:hint="eastAsia"/>
                <w:b/>
                <w:bCs/>
                <w:color w:val="auto"/>
                <w:sz w:val="20"/>
                <w:szCs w:val="20"/>
                <w:lang w:val="en-US" w:eastAsia="zh-CN"/>
              </w:rPr>
              <w:t>25</w:t>
            </w:r>
            <w:r>
              <w:rPr>
                <w:rFonts w:hint="eastAsia"/>
                <w:b/>
                <w:bCs/>
                <w:color w:val="auto"/>
                <w:sz w:val="20"/>
                <w:szCs w:val="20"/>
              </w:rPr>
              <w:t>m高排气筒排放速率=</w:t>
            </w:r>
            <w:r>
              <w:rPr>
                <w:rFonts w:hint="eastAsia"/>
                <w:b/>
                <w:bCs/>
                <w:color w:val="auto"/>
                <w:sz w:val="20"/>
                <w:szCs w:val="20"/>
                <w:lang w:val="en-US" w:eastAsia="zh-CN"/>
              </w:rPr>
              <w:t>1.16</w:t>
            </w:r>
            <w:r>
              <w:rPr>
                <w:rFonts w:hint="eastAsia"/>
                <w:b/>
                <w:bCs/>
                <w:color w:val="auto"/>
                <w:sz w:val="20"/>
                <w:szCs w:val="20"/>
              </w:rPr>
              <w:t>kg/h，</w:t>
            </w:r>
            <w:r>
              <w:rPr>
                <w:rFonts w:hint="eastAsia"/>
                <w:b/>
                <w:bCs/>
                <w:color w:val="auto"/>
                <w:sz w:val="20"/>
                <w:szCs w:val="20"/>
                <w:lang w:val="en-US" w:eastAsia="zh-CN"/>
              </w:rPr>
              <w:t>因厂房高24m，排气筒高度未超过厂房高度5m以上，应</w:t>
            </w:r>
            <w:r>
              <w:rPr>
                <w:rFonts w:hint="eastAsia"/>
                <w:b/>
                <w:bCs/>
                <w:color w:val="auto"/>
                <w:sz w:val="20"/>
                <w:szCs w:val="20"/>
              </w:rPr>
              <w:t>严格50%后的排放速率为</w:t>
            </w:r>
            <w:r>
              <w:rPr>
                <w:rFonts w:hint="eastAsia"/>
                <w:b/>
                <w:bCs/>
                <w:color w:val="auto"/>
                <w:sz w:val="20"/>
                <w:szCs w:val="20"/>
                <w:lang w:val="en-US" w:eastAsia="zh-CN"/>
              </w:rPr>
              <w:t>0.58</w:t>
            </w:r>
            <w:r>
              <w:rPr>
                <w:rFonts w:hint="eastAsia"/>
                <w:b/>
                <w:bCs/>
                <w:color w:val="auto"/>
                <w:sz w:val="20"/>
                <w:szCs w:val="20"/>
              </w:rPr>
              <w:t>kg/h，则本项目</w:t>
            </w:r>
            <w:r>
              <w:rPr>
                <w:rFonts w:hint="eastAsia"/>
                <w:b/>
                <w:bCs/>
                <w:color w:val="auto"/>
                <w:sz w:val="20"/>
                <w:szCs w:val="20"/>
                <w:lang w:val="en-US" w:eastAsia="zh-CN"/>
              </w:rPr>
              <w:t>25</w:t>
            </w:r>
            <w:r>
              <w:rPr>
                <w:rFonts w:hint="eastAsia"/>
                <w:b/>
                <w:bCs/>
                <w:color w:val="auto"/>
                <w:sz w:val="20"/>
                <w:szCs w:val="20"/>
              </w:rPr>
              <w:t>m高排气筒</w:t>
            </w:r>
            <w:r>
              <w:rPr>
                <w:rFonts w:hint="eastAsia"/>
                <w:b/>
                <w:bCs/>
                <w:color w:val="auto"/>
                <w:sz w:val="20"/>
                <w:szCs w:val="20"/>
                <w:lang w:val="en-US" w:eastAsia="zh-CN"/>
              </w:rPr>
              <w:t>锡及其化合物</w:t>
            </w:r>
            <w:r>
              <w:rPr>
                <w:rFonts w:hint="eastAsia"/>
                <w:b/>
                <w:bCs/>
                <w:color w:val="auto"/>
                <w:sz w:val="20"/>
                <w:szCs w:val="20"/>
              </w:rPr>
              <w:t>排放速率执行</w:t>
            </w:r>
            <w:r>
              <w:rPr>
                <w:rFonts w:hint="eastAsia"/>
                <w:b/>
                <w:bCs/>
                <w:color w:val="auto"/>
                <w:sz w:val="20"/>
                <w:szCs w:val="20"/>
                <w:lang w:val="en-US" w:eastAsia="zh-CN"/>
              </w:rPr>
              <w:t>0.58</w:t>
            </w:r>
            <w:r>
              <w:rPr>
                <w:rFonts w:hint="eastAsia"/>
                <w:b/>
                <w:bCs/>
                <w:color w:val="auto"/>
                <w:sz w:val="20"/>
                <w:szCs w:val="20"/>
              </w:rPr>
              <w:t>kg/h标准值</w:t>
            </w:r>
            <w:r>
              <w:rPr>
                <w:rFonts w:hint="eastAsia"/>
                <w:b/>
                <w:bCs/>
                <w:color w:val="auto"/>
                <w:sz w:val="20"/>
                <w:szCs w:val="20"/>
                <w:lang w:eastAsia="zh-CN"/>
              </w:rPr>
              <w:t>。</w:t>
            </w:r>
          </w:p>
          <w:p>
            <w:pPr>
              <w:widowControl/>
              <w:adjustRightInd w:val="0"/>
              <w:snapToGrid w:val="0"/>
              <w:spacing w:before="120" w:beforeLines="50" w:line="360" w:lineRule="auto"/>
              <w:ind w:firstLine="480" w:firstLineChars="200"/>
              <w:jc w:val="left"/>
              <w:rPr>
                <w:color w:val="auto"/>
                <w:sz w:val="24"/>
              </w:rPr>
            </w:pPr>
            <w:r>
              <w:rPr>
                <w:color w:val="auto"/>
                <w:sz w:val="24"/>
              </w:rPr>
              <w:t>2</w:t>
            </w:r>
            <w:r>
              <w:rPr>
                <w:rFonts w:hint="eastAsia"/>
                <w:color w:val="auto"/>
                <w:sz w:val="24"/>
              </w:rPr>
              <w:t>、废水</w:t>
            </w:r>
          </w:p>
          <w:p>
            <w:pPr>
              <w:widowControl/>
              <w:adjustRightInd w:val="0"/>
              <w:snapToGrid w:val="0"/>
              <w:spacing w:line="360" w:lineRule="auto"/>
              <w:ind w:firstLine="480" w:firstLineChars="200"/>
              <w:rPr>
                <w:rFonts w:hint="eastAsia"/>
                <w:color w:val="auto"/>
                <w:sz w:val="24"/>
                <w:lang w:val="en-US" w:eastAsia="zh-CN"/>
              </w:rPr>
            </w:pPr>
            <w:r>
              <w:rPr>
                <w:rFonts w:hint="eastAsia"/>
                <w:color w:val="auto"/>
                <w:sz w:val="24"/>
              </w:rPr>
              <w:t>本</w:t>
            </w:r>
            <w:r>
              <w:rPr>
                <w:color w:val="auto"/>
                <w:sz w:val="24"/>
              </w:rPr>
              <w:t>项目</w:t>
            </w:r>
            <w:r>
              <w:rPr>
                <w:rFonts w:hint="eastAsia"/>
                <w:color w:val="auto"/>
                <w:sz w:val="24"/>
                <w:lang w:val="en-US" w:eastAsia="zh-CN"/>
              </w:rPr>
              <w:t>生活污水经</w:t>
            </w:r>
            <w:r>
              <w:rPr>
                <w:rFonts w:hint="eastAsia"/>
                <w:color w:val="auto"/>
                <w:sz w:val="24"/>
                <w:szCs w:val="24"/>
                <w:lang w:val="en-US" w:eastAsia="zh-CN"/>
              </w:rPr>
              <w:t>化粪池</w:t>
            </w:r>
            <w:r>
              <w:rPr>
                <w:rFonts w:hint="eastAsia"/>
                <w:color w:val="auto"/>
                <w:sz w:val="24"/>
                <w:lang w:val="en-US" w:eastAsia="zh-CN"/>
              </w:rPr>
              <w:t>处理后排入市政污水管网，</w:t>
            </w:r>
            <w:r>
              <w:rPr>
                <w:rFonts w:hint="eastAsia"/>
                <w:color w:val="auto"/>
                <w:sz w:val="24"/>
                <w:szCs w:val="32"/>
                <w:lang w:val="en-US" w:eastAsia="zh-CN"/>
              </w:rPr>
              <w:t>排放浓度</w:t>
            </w:r>
            <w:r>
              <w:rPr>
                <w:rFonts w:hint="eastAsia"/>
                <w:color w:val="auto"/>
                <w:sz w:val="24"/>
                <w:szCs w:val="32"/>
              </w:rPr>
              <w:t>执行《污水排入城市下水道水质标准》（GB/T31962-2015）B等级排放标准</w:t>
            </w:r>
            <w:r>
              <w:rPr>
                <w:rFonts w:hint="eastAsia"/>
                <w:color w:val="auto"/>
                <w:sz w:val="24"/>
                <w:lang w:val="en-US" w:eastAsia="zh-CN"/>
              </w:rPr>
              <w:t>。</w:t>
            </w:r>
          </w:p>
          <w:p>
            <w:pPr>
              <w:pStyle w:val="25"/>
              <w:tabs>
                <w:tab w:val="left" w:pos="1000"/>
              </w:tabs>
              <w:spacing w:before="0" w:beforeAutospacing="0" w:after="0" w:afterAutospacing="0"/>
              <w:jc w:val="center"/>
              <w:rPr>
                <w:rFonts w:hint="default" w:ascii="Times New Roman" w:hAnsi="Times New Roman" w:eastAsia="宋体"/>
                <w:b/>
                <w:bCs/>
                <w:color w:val="auto"/>
                <w:kern w:val="2"/>
                <w:sz w:val="21"/>
                <w:szCs w:val="21"/>
                <w:lang w:val="en-US" w:eastAsia="zh-CN"/>
              </w:rPr>
            </w:pPr>
            <w:r>
              <w:rPr>
                <w:rFonts w:ascii="Times New Roman" w:hAnsi="Times New Roman"/>
                <w:b/>
                <w:bCs/>
                <w:color w:val="auto"/>
                <w:kern w:val="2"/>
                <w:sz w:val="21"/>
                <w:szCs w:val="21"/>
              </w:rPr>
              <w:t>表3-</w:t>
            </w:r>
            <w:r>
              <w:rPr>
                <w:rFonts w:hint="eastAsia" w:ascii="Times New Roman" w:hAnsi="Times New Roman"/>
                <w:b/>
                <w:bCs/>
                <w:color w:val="auto"/>
                <w:kern w:val="2"/>
                <w:sz w:val="21"/>
                <w:szCs w:val="21"/>
                <w:lang w:val="en-US" w:eastAsia="zh-CN"/>
              </w:rPr>
              <w:t>6</w:t>
            </w:r>
            <w:r>
              <w:rPr>
                <w:rFonts w:ascii="Times New Roman" w:hAnsi="Times New Roman"/>
                <w:b/>
                <w:bCs/>
                <w:color w:val="auto"/>
                <w:kern w:val="2"/>
                <w:sz w:val="21"/>
                <w:szCs w:val="21"/>
              </w:rPr>
              <w:t xml:space="preserve">   </w:t>
            </w:r>
            <w:r>
              <w:rPr>
                <w:rFonts w:hint="eastAsia" w:ascii="Times New Roman" w:hAnsi="Times New Roman"/>
                <w:b/>
                <w:bCs/>
                <w:color w:val="auto"/>
                <w:kern w:val="2"/>
                <w:sz w:val="21"/>
                <w:szCs w:val="21"/>
                <w:lang w:val="en-US" w:eastAsia="zh-CN"/>
              </w:rPr>
              <w:t>排水水质参考标准限值</w:t>
            </w:r>
          </w:p>
          <w:tbl>
            <w:tblPr>
              <w:tblStyle w:val="29"/>
              <w:tblW w:w="79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1"/>
              <w:gridCol w:w="2619"/>
              <w:gridCol w:w="796"/>
              <w:gridCol w:w="41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Cs/>
                      <w:color w:val="auto"/>
                      <w:szCs w:val="21"/>
                      <w:lang w:val="en-US" w:eastAsia="zh-CN"/>
                    </w:rPr>
                  </w:pPr>
                  <w:r>
                    <w:rPr>
                      <w:rFonts w:hint="eastAsia"/>
                      <w:bCs/>
                      <w:color w:val="auto"/>
                      <w:szCs w:val="21"/>
                      <w:lang w:val="en-US" w:eastAsia="zh-CN"/>
                    </w:rPr>
                    <w:t>序号</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Cs/>
                      <w:color w:val="auto"/>
                      <w:szCs w:val="21"/>
                      <w:lang w:val="en-US" w:eastAsia="zh-CN"/>
                    </w:rPr>
                  </w:pPr>
                  <w:r>
                    <w:rPr>
                      <w:rFonts w:hint="eastAsia"/>
                      <w:bCs/>
                      <w:color w:val="auto"/>
                      <w:szCs w:val="21"/>
                      <w:lang w:val="en-US" w:eastAsia="zh-CN"/>
                    </w:rPr>
                    <w:t>控制项目</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Cs/>
                      <w:color w:val="auto"/>
                      <w:szCs w:val="21"/>
                      <w:lang w:val="en-US" w:eastAsia="zh-CN"/>
                    </w:rPr>
                  </w:pPr>
                  <w:r>
                    <w:rPr>
                      <w:rFonts w:hint="eastAsia"/>
                      <w:bCs/>
                      <w:color w:val="auto"/>
                      <w:szCs w:val="21"/>
                      <w:lang w:val="en-US" w:eastAsia="zh-CN"/>
                    </w:rPr>
                    <w:t>单位</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color w:val="auto"/>
                      <w:sz w:val="21"/>
                      <w:szCs w:val="24"/>
                    </w:rPr>
                    <w:t>《污水排入城市下水道水质标准》（GB/T31962-2015）B等级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1</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pH值</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6.5~9.5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2</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化学需氧量（COD）</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bCs/>
                      <w:color w:val="auto"/>
                      <w:szCs w:val="21"/>
                      <w:lang w:val="en-US" w:eastAsia="zh-CN"/>
                    </w:rPr>
                  </w:pPr>
                  <w:r>
                    <w:rPr>
                      <w:rFonts w:hint="eastAsia"/>
                      <w:bCs/>
                      <w:color w:val="auto"/>
                      <w:szCs w:val="21"/>
                      <w:lang w:val="en-US" w:eastAsia="zh-CN"/>
                    </w:rPr>
                    <w:t>mg/L</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3</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eastAsia="宋体"/>
                      <w:bCs/>
                      <w:color w:val="auto"/>
                      <w:szCs w:val="21"/>
                      <w:lang w:val="en-US" w:eastAsia="zh-CN"/>
                    </w:rPr>
                  </w:pPr>
                  <w:r>
                    <w:rPr>
                      <w:rFonts w:hint="eastAsia"/>
                      <w:bCs/>
                      <w:color w:val="auto"/>
                      <w:szCs w:val="21"/>
                      <w:lang w:val="en-US" w:eastAsia="zh-CN"/>
                    </w:rPr>
                    <w:t>五日生化需氧量（BOD</w:t>
                  </w:r>
                  <w:r>
                    <w:rPr>
                      <w:rFonts w:hint="eastAsia"/>
                      <w:bCs/>
                      <w:color w:val="auto"/>
                      <w:szCs w:val="21"/>
                      <w:vertAlign w:val="subscript"/>
                      <w:lang w:val="en-US" w:eastAsia="zh-CN"/>
                    </w:rPr>
                    <w:t>5</w:t>
                  </w:r>
                  <w:r>
                    <w:rPr>
                      <w:rFonts w:hint="eastAsia"/>
                      <w:bCs/>
                      <w:color w:val="auto"/>
                      <w:szCs w:val="21"/>
                      <w:lang w:val="en-US" w:eastAsia="zh-CN"/>
                    </w:rPr>
                    <w:t>）</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mg/L</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≤350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4</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Cs/>
                      <w:color w:val="auto"/>
                      <w:szCs w:val="21"/>
                      <w:lang w:val="en-US" w:eastAsia="zh-CN"/>
                    </w:rPr>
                  </w:pPr>
                  <w:r>
                    <w:rPr>
                      <w:rFonts w:hint="eastAsia"/>
                      <w:bCs/>
                      <w:color w:val="auto"/>
                      <w:szCs w:val="21"/>
                      <w:lang w:val="en-US" w:eastAsia="zh-CN"/>
                    </w:rPr>
                    <w:t>氨氮</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Cs/>
                      <w:color w:val="auto"/>
                      <w:szCs w:val="21"/>
                      <w:lang w:val="en-US" w:eastAsia="zh-CN"/>
                    </w:rPr>
                  </w:pPr>
                  <w:r>
                    <w:rPr>
                      <w:rFonts w:hint="eastAsia"/>
                      <w:bCs/>
                      <w:color w:val="auto"/>
                      <w:szCs w:val="21"/>
                      <w:lang w:val="en-US" w:eastAsia="zh-CN"/>
                    </w:rPr>
                    <w:t>mg/L</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Cs/>
                      <w:color w:val="auto"/>
                      <w:szCs w:val="21"/>
                      <w:lang w:val="en-US" w:eastAsia="zh-CN"/>
                    </w:rPr>
                  </w:pPr>
                  <w:r>
                    <w:rPr>
                      <w:rFonts w:hint="eastAsia"/>
                      <w:bCs/>
                      <w:color w:val="auto"/>
                      <w:szCs w:val="21"/>
                      <w:lang w:val="en-US" w:eastAsia="zh-CN"/>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5</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总氮</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bCs/>
                      <w:color w:val="auto"/>
                      <w:szCs w:val="21"/>
                      <w:lang w:val="en-US" w:eastAsia="zh-CN"/>
                    </w:rPr>
                  </w:pPr>
                  <w:r>
                    <w:rPr>
                      <w:rFonts w:hint="eastAsia"/>
                      <w:bCs/>
                      <w:color w:val="auto"/>
                      <w:szCs w:val="21"/>
                      <w:lang w:val="en-US" w:eastAsia="zh-CN"/>
                    </w:rPr>
                    <w:t>mg/L</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≤70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3" w:hRule="atLeast"/>
                <w:jc w:val="center"/>
              </w:trPr>
              <w:tc>
                <w:tcPr>
                  <w:tcW w:w="441"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6</w:t>
                  </w:r>
                </w:p>
              </w:tc>
              <w:tc>
                <w:tcPr>
                  <w:tcW w:w="2619"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bCs/>
                      <w:color w:val="auto"/>
                      <w:szCs w:val="21"/>
                      <w:lang w:val="en-US" w:eastAsia="zh-CN"/>
                    </w:rPr>
                  </w:pPr>
                  <w:r>
                    <w:rPr>
                      <w:rFonts w:hint="eastAsia"/>
                      <w:bCs/>
                      <w:color w:val="auto"/>
                      <w:szCs w:val="21"/>
                      <w:lang w:val="en-US" w:eastAsia="zh-CN"/>
                    </w:rPr>
                    <w:t>总磷</w:t>
                  </w:r>
                </w:p>
              </w:tc>
              <w:tc>
                <w:tcPr>
                  <w:tcW w:w="796"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bCs/>
                      <w:color w:val="auto"/>
                      <w:szCs w:val="21"/>
                    </w:rPr>
                  </w:pPr>
                  <w:r>
                    <w:rPr>
                      <w:rFonts w:hint="eastAsia"/>
                      <w:bCs/>
                      <w:color w:val="auto"/>
                      <w:szCs w:val="21"/>
                      <w:lang w:val="en-US" w:eastAsia="zh-CN"/>
                    </w:rPr>
                    <w:t>mg/L</w:t>
                  </w:r>
                </w:p>
              </w:tc>
              <w:tc>
                <w:tcPr>
                  <w:tcW w:w="4100" w:type="dxa"/>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eastAsia="宋体"/>
                      <w:bCs/>
                      <w:color w:val="auto"/>
                      <w:szCs w:val="21"/>
                      <w:lang w:val="en-US" w:eastAsia="zh-CN"/>
                    </w:rPr>
                  </w:pPr>
                  <w:r>
                    <w:rPr>
                      <w:rFonts w:hint="eastAsia"/>
                      <w:bCs/>
                      <w:color w:val="auto"/>
                      <w:szCs w:val="21"/>
                      <w:lang w:val="en-US" w:eastAsia="zh-CN"/>
                    </w:rPr>
                    <w:t>≤8</w:t>
                  </w:r>
                </w:p>
              </w:tc>
            </w:tr>
          </w:tbl>
          <w:p>
            <w:pPr>
              <w:widowControl/>
              <w:numPr>
                <w:ilvl w:val="0"/>
                <w:numId w:val="13"/>
              </w:numPr>
              <w:spacing w:before="120" w:beforeLines="50" w:line="360" w:lineRule="auto"/>
              <w:ind w:firstLine="480" w:firstLineChars="200"/>
              <w:rPr>
                <w:color w:val="auto"/>
                <w:sz w:val="24"/>
              </w:rPr>
            </w:pPr>
            <w:r>
              <w:rPr>
                <w:rFonts w:hint="eastAsia"/>
                <w:color w:val="auto"/>
                <w:sz w:val="24"/>
              </w:rPr>
              <w:t>噪声</w:t>
            </w:r>
          </w:p>
          <w:p>
            <w:pPr>
              <w:widowControl/>
              <w:spacing w:line="360" w:lineRule="auto"/>
              <w:ind w:firstLine="480" w:firstLineChars="200"/>
              <w:rPr>
                <w:color w:val="auto"/>
                <w:sz w:val="24"/>
              </w:rPr>
            </w:pPr>
            <w:r>
              <w:rPr>
                <w:color w:val="auto"/>
                <w:sz w:val="24"/>
              </w:rPr>
              <w:t>施工期噪声执行《建筑施工场界环境噪声排放标准》</w:t>
            </w:r>
            <w:r>
              <w:rPr>
                <w:rFonts w:hint="eastAsia"/>
                <w:color w:val="auto"/>
                <w:sz w:val="24"/>
              </w:rPr>
              <w:t>（</w:t>
            </w:r>
            <w:r>
              <w:rPr>
                <w:color w:val="auto"/>
                <w:sz w:val="24"/>
              </w:rPr>
              <w:t>GB12523-2011</w:t>
            </w:r>
            <w:r>
              <w:rPr>
                <w:rFonts w:hint="eastAsia"/>
                <w:color w:val="auto"/>
                <w:sz w:val="24"/>
              </w:rPr>
              <w:t>），</w:t>
            </w:r>
            <w:r>
              <w:rPr>
                <w:color w:val="auto"/>
                <w:sz w:val="24"/>
              </w:rPr>
              <w:t>运营期</w:t>
            </w:r>
            <w:r>
              <w:rPr>
                <w:rFonts w:hint="eastAsia"/>
                <w:color w:val="auto"/>
                <w:sz w:val="24"/>
                <w:lang w:val="en-US" w:eastAsia="zh-CN"/>
              </w:rPr>
              <w:t>厂界</w:t>
            </w:r>
            <w:r>
              <w:rPr>
                <w:color w:val="auto"/>
                <w:sz w:val="24"/>
              </w:rPr>
              <w:t>噪声排放执行《工业企业厂界环境噪声排放标准》</w:t>
            </w:r>
            <w:r>
              <w:rPr>
                <w:rFonts w:hint="eastAsia"/>
                <w:color w:val="auto"/>
                <w:sz w:val="24"/>
              </w:rPr>
              <w:t>（</w:t>
            </w:r>
            <w:r>
              <w:rPr>
                <w:color w:val="auto"/>
                <w:sz w:val="24"/>
              </w:rPr>
              <w:t>GB12348-2008</w:t>
            </w:r>
            <w:r>
              <w:rPr>
                <w:rFonts w:hint="eastAsia"/>
                <w:color w:val="auto"/>
                <w:sz w:val="24"/>
              </w:rPr>
              <w:t>）3类</w:t>
            </w:r>
            <w:r>
              <w:rPr>
                <w:color w:val="auto"/>
                <w:sz w:val="24"/>
              </w:rPr>
              <w:t>标准。</w:t>
            </w:r>
          </w:p>
          <w:p>
            <w:pPr>
              <w:pStyle w:val="25"/>
              <w:tabs>
                <w:tab w:val="left" w:pos="1000"/>
              </w:tabs>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rPr>
              <w:t>表3-</w:t>
            </w:r>
            <w:r>
              <w:rPr>
                <w:rFonts w:hint="eastAsia" w:ascii="Times New Roman" w:hAnsi="Times New Roman"/>
                <w:b/>
                <w:bCs/>
                <w:color w:val="auto"/>
                <w:kern w:val="2"/>
                <w:sz w:val="21"/>
                <w:szCs w:val="21"/>
                <w:lang w:val="en-US" w:eastAsia="zh-CN"/>
              </w:rPr>
              <w:t>7</w:t>
            </w:r>
            <w:r>
              <w:rPr>
                <w:rFonts w:ascii="Times New Roman" w:hAnsi="Times New Roman"/>
                <w:b/>
                <w:bCs/>
                <w:color w:val="auto"/>
                <w:kern w:val="2"/>
                <w:sz w:val="21"/>
                <w:szCs w:val="21"/>
              </w:rPr>
              <w:t xml:space="preserve">   噪声排放标准   单位：dB（A）</w:t>
            </w:r>
          </w:p>
          <w:tbl>
            <w:tblPr>
              <w:tblStyle w:val="29"/>
              <w:tblW w:w="79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387"/>
              <w:gridCol w:w="812"/>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执行标准</w:t>
                  </w:r>
                </w:p>
              </w:tc>
              <w:tc>
                <w:tcPr>
                  <w:tcW w:w="812"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昼间</w:t>
                  </w:r>
                </w:p>
              </w:tc>
              <w:tc>
                <w:tcPr>
                  <w:tcW w:w="75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rFonts w:hint="eastAsia" w:eastAsia="宋体"/>
                      <w:bCs/>
                      <w:color w:val="auto"/>
                      <w:szCs w:val="21"/>
                      <w:lang w:eastAsia="zh-CN"/>
                    </w:rPr>
                  </w:pPr>
                  <w:r>
                    <w:rPr>
                      <w:bCs/>
                      <w:color w:val="auto"/>
                      <w:szCs w:val="21"/>
                    </w:rPr>
                    <w:t>《建筑施工场界环境噪声排放标准》</w:t>
                  </w:r>
                  <w:r>
                    <w:rPr>
                      <w:rFonts w:hint="eastAsia"/>
                      <w:bCs/>
                      <w:color w:val="auto"/>
                      <w:szCs w:val="21"/>
                      <w:lang w:eastAsia="zh-CN"/>
                    </w:rPr>
                    <w:t>（</w:t>
                  </w:r>
                  <w:r>
                    <w:rPr>
                      <w:bCs/>
                      <w:color w:val="auto"/>
                      <w:szCs w:val="21"/>
                    </w:rPr>
                    <w:t>GB12523-2011</w:t>
                  </w:r>
                  <w:r>
                    <w:rPr>
                      <w:rFonts w:hint="eastAsia"/>
                      <w:bCs/>
                      <w:color w:val="auto"/>
                      <w:szCs w:val="21"/>
                      <w:lang w:eastAsia="zh-CN"/>
                    </w:rPr>
                    <w:t>）</w:t>
                  </w:r>
                </w:p>
              </w:tc>
              <w:tc>
                <w:tcPr>
                  <w:tcW w:w="812"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70</w:t>
                  </w:r>
                </w:p>
              </w:tc>
              <w:tc>
                <w:tcPr>
                  <w:tcW w:w="75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638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《工业企业厂界环境噪声排放标准》（GB12348-2008）3类</w:t>
                  </w:r>
                  <w:r>
                    <w:rPr>
                      <w:color w:val="auto"/>
                      <w:szCs w:val="21"/>
                    </w:rPr>
                    <w:t>区</w:t>
                  </w:r>
                </w:p>
              </w:tc>
              <w:tc>
                <w:tcPr>
                  <w:tcW w:w="812"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65</w:t>
                  </w:r>
                </w:p>
              </w:tc>
              <w:tc>
                <w:tcPr>
                  <w:tcW w:w="757" w:type="dxa"/>
                  <w:vAlign w:val="center"/>
                </w:tcPr>
                <w:p>
                  <w:pPr>
                    <w:keepNext w:val="0"/>
                    <w:keepLines w:val="0"/>
                    <w:pageBreakBefore w:val="0"/>
                    <w:widowControl w:val="0"/>
                    <w:kinsoku/>
                    <w:wordWrap/>
                    <w:overflowPunct/>
                    <w:topLinePunct w:val="0"/>
                    <w:autoSpaceDE/>
                    <w:autoSpaceDN/>
                    <w:bidi w:val="0"/>
                    <w:adjustRightInd w:val="0"/>
                    <w:snapToGrid/>
                    <w:ind w:firstLine="0"/>
                    <w:jc w:val="center"/>
                    <w:textAlignment w:val="auto"/>
                    <w:rPr>
                      <w:bCs/>
                      <w:color w:val="auto"/>
                      <w:szCs w:val="21"/>
                    </w:rPr>
                  </w:pPr>
                  <w:r>
                    <w:rPr>
                      <w:bCs/>
                      <w:color w:val="auto"/>
                      <w:szCs w:val="21"/>
                    </w:rPr>
                    <w:t>55</w:t>
                  </w:r>
                </w:p>
              </w:tc>
            </w:tr>
          </w:tbl>
          <w:p>
            <w:pPr>
              <w:widowControl/>
              <w:spacing w:line="360" w:lineRule="auto"/>
              <w:ind w:firstLine="480" w:firstLineChars="200"/>
              <w:rPr>
                <w:color w:val="auto"/>
                <w:sz w:val="24"/>
              </w:rPr>
            </w:pPr>
            <w:r>
              <w:rPr>
                <w:color w:val="auto"/>
                <w:sz w:val="24"/>
              </w:rPr>
              <w:t>4</w:t>
            </w:r>
            <w:r>
              <w:rPr>
                <w:rFonts w:hint="eastAsia"/>
                <w:color w:val="auto"/>
                <w:sz w:val="24"/>
              </w:rPr>
              <w:t>、固体废物</w:t>
            </w:r>
          </w:p>
          <w:p>
            <w:pPr>
              <w:widowControl/>
              <w:spacing w:line="360" w:lineRule="auto"/>
              <w:ind w:firstLine="480" w:firstLineChars="200"/>
              <w:rPr>
                <w:color w:val="auto"/>
                <w:spacing w:val="6"/>
                <w:sz w:val="24"/>
              </w:rPr>
            </w:pPr>
            <w:r>
              <w:rPr>
                <w:rFonts w:hint="eastAsia"/>
                <w:color w:val="auto"/>
                <w:sz w:val="24"/>
              </w:rPr>
              <w:t>一般</w:t>
            </w:r>
            <w:r>
              <w:rPr>
                <w:color w:val="auto"/>
                <w:sz w:val="24"/>
              </w:rPr>
              <w:t>固体废物执行《</w:t>
            </w:r>
            <w:r>
              <w:rPr>
                <w:rFonts w:hint="eastAsia"/>
                <w:color w:val="auto"/>
                <w:sz w:val="24"/>
              </w:rPr>
              <w:t>一般工业固体废物贮存和填埋污染控制标准</w:t>
            </w:r>
            <w:r>
              <w:rPr>
                <w:color w:val="auto"/>
                <w:sz w:val="24"/>
              </w:rPr>
              <w:t>》</w:t>
            </w:r>
            <w:r>
              <w:rPr>
                <w:rFonts w:hint="eastAsia"/>
                <w:color w:val="auto"/>
                <w:sz w:val="24"/>
              </w:rPr>
              <w:t>（</w:t>
            </w:r>
            <w:r>
              <w:rPr>
                <w:color w:val="auto"/>
                <w:sz w:val="24"/>
              </w:rPr>
              <w:t>GB18599-2020</w:t>
            </w:r>
            <w:r>
              <w:rPr>
                <w:rFonts w:hint="eastAsia"/>
                <w:color w:val="auto"/>
                <w:sz w:val="24"/>
              </w:rPr>
              <w:t>）相关要求；危险废物执行《危险废物贮存污染控制标准》（GB18597-2023）中相关要求。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8" w:hRule="atLeast"/>
          <w:jc w:val="center"/>
        </w:trPr>
        <w:tc>
          <w:tcPr>
            <w:tcW w:w="525" w:type="dxa"/>
            <w:vAlign w:val="center"/>
          </w:tcPr>
          <w:p>
            <w:pPr>
              <w:adjustRightInd w:val="0"/>
              <w:snapToGrid w:val="0"/>
              <w:jc w:val="center"/>
              <w:rPr>
                <w:b/>
                <w:bCs/>
                <w:color w:val="auto"/>
                <w:kern w:val="0"/>
                <w:sz w:val="24"/>
              </w:rPr>
            </w:pPr>
            <w:r>
              <w:rPr>
                <w:b/>
                <w:bCs/>
                <w:color w:val="auto"/>
                <w:kern w:val="0"/>
                <w:sz w:val="24"/>
              </w:rPr>
              <w:t>总量</w:t>
            </w:r>
          </w:p>
          <w:p>
            <w:pPr>
              <w:adjustRightInd w:val="0"/>
              <w:snapToGrid w:val="0"/>
              <w:jc w:val="center"/>
              <w:rPr>
                <w:b/>
                <w:bCs/>
                <w:color w:val="auto"/>
                <w:kern w:val="0"/>
                <w:sz w:val="24"/>
              </w:rPr>
            </w:pPr>
            <w:r>
              <w:rPr>
                <w:b/>
                <w:bCs/>
                <w:color w:val="auto"/>
                <w:kern w:val="0"/>
                <w:sz w:val="24"/>
              </w:rPr>
              <w:t>控制</w:t>
            </w:r>
          </w:p>
          <w:p>
            <w:pPr>
              <w:adjustRightInd w:val="0"/>
              <w:snapToGrid w:val="0"/>
              <w:jc w:val="center"/>
              <w:rPr>
                <w:b/>
                <w:bCs/>
                <w:color w:val="auto"/>
                <w:kern w:val="0"/>
                <w:sz w:val="24"/>
              </w:rPr>
            </w:pPr>
            <w:r>
              <w:rPr>
                <w:b/>
                <w:bCs/>
                <w:color w:val="auto"/>
                <w:kern w:val="0"/>
                <w:sz w:val="24"/>
              </w:rPr>
              <w:t>指标</w:t>
            </w:r>
          </w:p>
        </w:tc>
        <w:tc>
          <w:tcPr>
            <w:tcW w:w="849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highlight w:val="none"/>
              </w:rPr>
            </w:pPr>
            <w:r>
              <w:rPr>
                <w:color w:val="auto"/>
                <w:sz w:val="24"/>
                <w:szCs w:val="32"/>
                <w:highlight w:val="none"/>
              </w:rPr>
              <w:t>本项目的污染物控制指标</w:t>
            </w:r>
            <w:r>
              <w:rPr>
                <w:rFonts w:hint="eastAsia"/>
                <w:color w:val="auto"/>
                <w:sz w:val="24"/>
                <w:szCs w:val="32"/>
                <w:highlight w:val="none"/>
                <w:lang w:val="en-US" w:eastAsia="zh-CN"/>
              </w:rPr>
              <w:t>建议</w:t>
            </w:r>
            <w:r>
              <w:rPr>
                <w:color w:val="auto"/>
                <w:sz w:val="24"/>
                <w:szCs w:val="32"/>
                <w:highlight w:val="none"/>
              </w:rPr>
              <w:t>为VOC</w:t>
            </w:r>
            <w:r>
              <w:rPr>
                <w:color w:val="auto"/>
                <w:sz w:val="24"/>
                <w:szCs w:val="32"/>
                <w:highlight w:val="none"/>
                <w:vertAlign w:val="subscript"/>
              </w:rPr>
              <w:t>S</w:t>
            </w:r>
            <w:r>
              <w:rPr>
                <w:color w:val="auto"/>
                <w:sz w:val="24"/>
                <w:szCs w:val="32"/>
                <w:highlight w:val="none"/>
              </w:rPr>
              <w:t>，VOC</w:t>
            </w:r>
            <w:r>
              <w:rPr>
                <w:color w:val="auto"/>
                <w:sz w:val="24"/>
                <w:szCs w:val="32"/>
                <w:highlight w:val="none"/>
                <w:vertAlign w:val="subscript"/>
              </w:rPr>
              <w:t>S</w:t>
            </w:r>
            <w:r>
              <w:rPr>
                <w:color w:val="auto"/>
                <w:sz w:val="24"/>
                <w:szCs w:val="32"/>
                <w:highlight w:val="none"/>
              </w:rPr>
              <w:t>排放量为</w:t>
            </w:r>
            <w:r>
              <w:rPr>
                <w:rFonts w:hint="eastAsia"/>
                <w:color w:val="auto"/>
                <w:sz w:val="24"/>
                <w:szCs w:val="32"/>
                <w:highlight w:val="none"/>
                <w:lang w:val="en-US" w:eastAsia="zh-CN"/>
              </w:rPr>
              <w:t>5.0kg</w:t>
            </w:r>
            <w:r>
              <w:rPr>
                <w:color w:val="auto"/>
                <w:sz w:val="24"/>
                <w:szCs w:val="32"/>
                <w:highlight w:val="none"/>
              </w:rPr>
              <w: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rPr>
            </w:pPr>
            <w:r>
              <w:rPr>
                <w:color w:val="auto"/>
                <w:sz w:val="24"/>
                <w:szCs w:val="32"/>
              </w:rPr>
              <w:t>项目具体总量指标以当地环保部门批准的指标为准。</w:t>
            </w:r>
          </w:p>
        </w:tc>
      </w:tr>
    </w:tbl>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9"/>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8"/>
        <w:gridCol w:w="84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458" w:type="dxa"/>
            <w:tcMar>
              <w:left w:w="28" w:type="dxa"/>
              <w:right w:w="28" w:type="dxa"/>
            </w:tcMar>
            <w:vAlign w:val="center"/>
          </w:tcPr>
          <w:p>
            <w:pPr>
              <w:pStyle w:val="25"/>
              <w:adjustRightInd w:val="0"/>
              <w:snapToGrid w:val="0"/>
              <w:spacing w:before="0" w:beforeAutospacing="0" w:after="0" w:afterAutospacing="0"/>
              <w:jc w:val="center"/>
              <w:rPr>
                <w:rFonts w:ascii="Times New Roman" w:hAnsi="Times New Roman"/>
                <w:b/>
                <w:color w:val="auto"/>
                <w:kern w:val="2"/>
                <w:szCs w:val="24"/>
              </w:rPr>
            </w:pPr>
            <w:r>
              <w:rPr>
                <w:rFonts w:ascii="Times New Roman" w:hAnsi="Times New Roman"/>
                <w:b/>
                <w:color w:val="auto"/>
                <w:kern w:val="2"/>
                <w:szCs w:val="24"/>
              </w:rPr>
              <w:t>施工</w:t>
            </w:r>
          </w:p>
          <w:p>
            <w:pPr>
              <w:pStyle w:val="25"/>
              <w:adjustRightInd w:val="0"/>
              <w:snapToGrid w:val="0"/>
              <w:spacing w:before="0" w:beforeAutospacing="0" w:after="0" w:afterAutospacing="0"/>
              <w:jc w:val="center"/>
              <w:rPr>
                <w:rFonts w:ascii="Times New Roman" w:hAnsi="Times New Roman"/>
                <w:b/>
                <w:color w:val="auto"/>
                <w:kern w:val="2"/>
                <w:szCs w:val="24"/>
              </w:rPr>
            </w:pPr>
            <w:r>
              <w:rPr>
                <w:rFonts w:ascii="Times New Roman" w:hAnsi="Times New Roman"/>
                <w:b/>
                <w:color w:val="auto"/>
                <w:kern w:val="2"/>
                <w:szCs w:val="24"/>
              </w:rPr>
              <w:t>期环</w:t>
            </w:r>
          </w:p>
          <w:p>
            <w:pPr>
              <w:pStyle w:val="25"/>
              <w:adjustRightInd w:val="0"/>
              <w:snapToGrid w:val="0"/>
              <w:spacing w:before="0" w:beforeAutospacing="0" w:after="0" w:afterAutospacing="0"/>
              <w:jc w:val="center"/>
              <w:rPr>
                <w:rFonts w:ascii="Times New Roman" w:hAnsi="Times New Roman"/>
                <w:b/>
                <w:color w:val="auto"/>
                <w:kern w:val="2"/>
                <w:szCs w:val="24"/>
              </w:rPr>
            </w:pPr>
            <w:r>
              <w:rPr>
                <w:rFonts w:ascii="Times New Roman" w:hAnsi="Times New Roman"/>
                <w:b/>
                <w:color w:val="auto"/>
                <w:kern w:val="2"/>
                <w:szCs w:val="24"/>
              </w:rPr>
              <w:t>境保</w:t>
            </w:r>
          </w:p>
          <w:p>
            <w:pPr>
              <w:pStyle w:val="25"/>
              <w:adjustRightInd w:val="0"/>
              <w:snapToGrid w:val="0"/>
              <w:spacing w:before="0" w:beforeAutospacing="0" w:after="0" w:afterAutospacing="0"/>
              <w:jc w:val="center"/>
              <w:rPr>
                <w:rFonts w:ascii="Times New Roman" w:hAnsi="Times New Roman"/>
                <w:b/>
                <w:color w:val="auto"/>
                <w:kern w:val="2"/>
                <w:szCs w:val="24"/>
              </w:rPr>
            </w:pPr>
            <w:r>
              <w:rPr>
                <w:rFonts w:ascii="Times New Roman" w:hAnsi="Times New Roman"/>
                <w:b/>
                <w:color w:val="auto"/>
                <w:kern w:val="2"/>
                <w:szCs w:val="24"/>
              </w:rPr>
              <w:t>护措</w:t>
            </w:r>
          </w:p>
          <w:p>
            <w:pPr>
              <w:pStyle w:val="25"/>
              <w:adjustRightInd w:val="0"/>
              <w:snapToGrid w:val="0"/>
              <w:spacing w:before="0" w:beforeAutospacing="0" w:after="0" w:afterAutospacing="0"/>
              <w:jc w:val="center"/>
              <w:rPr>
                <w:rFonts w:ascii="Times New Roman" w:hAnsi="Times New Roman"/>
                <w:bCs/>
                <w:color w:val="auto"/>
                <w:kern w:val="2"/>
                <w:sz w:val="21"/>
                <w:szCs w:val="21"/>
              </w:rPr>
            </w:pPr>
            <w:r>
              <w:rPr>
                <w:rFonts w:ascii="Times New Roman" w:hAnsi="Times New Roman"/>
                <w:b/>
                <w:color w:val="auto"/>
                <w:kern w:val="2"/>
                <w:szCs w:val="24"/>
              </w:rPr>
              <w:t>施</w:t>
            </w:r>
          </w:p>
        </w:tc>
        <w:tc>
          <w:tcPr>
            <w:tcW w:w="8450" w:type="dxa"/>
            <w:vAlign w:val="center"/>
          </w:tcPr>
          <w:p>
            <w:pPr>
              <w:adjustRightInd w:val="0"/>
              <w:snapToGrid w:val="0"/>
              <w:spacing w:line="360" w:lineRule="auto"/>
              <w:ind w:firstLine="360" w:firstLineChars="150"/>
              <w:rPr>
                <w:bCs/>
                <w:color w:val="auto"/>
                <w:sz w:val="24"/>
              </w:rPr>
            </w:pPr>
            <w:r>
              <w:rPr>
                <w:bCs/>
                <w:color w:val="auto"/>
                <w:sz w:val="24"/>
              </w:rPr>
              <w:t>本项目租用</w:t>
            </w:r>
            <w:r>
              <w:rPr>
                <w:rFonts w:hint="eastAsia"/>
                <w:color w:val="auto"/>
                <w:sz w:val="24"/>
                <w:lang w:val="en-US" w:eastAsia="zh-CN"/>
              </w:rPr>
              <w:t>秦创原（泾河）智造创新产业园一期16号厂房</w:t>
            </w:r>
            <w:r>
              <w:rPr>
                <w:bCs/>
                <w:color w:val="auto"/>
                <w:sz w:val="24"/>
              </w:rPr>
              <w:t>，</w:t>
            </w:r>
            <w:r>
              <w:rPr>
                <w:rFonts w:hint="eastAsia"/>
                <w:bCs/>
                <w:color w:val="auto"/>
                <w:sz w:val="24"/>
                <w:lang w:val="en-US" w:eastAsia="zh-CN"/>
              </w:rPr>
              <w:t>厂房</w:t>
            </w:r>
            <w:r>
              <w:rPr>
                <w:bCs/>
                <w:color w:val="auto"/>
                <w:sz w:val="24"/>
              </w:rPr>
              <w:t>地面已硬化，</w:t>
            </w:r>
            <w:r>
              <w:rPr>
                <w:rFonts w:hint="eastAsia"/>
                <w:bCs/>
                <w:color w:val="auto"/>
                <w:sz w:val="24"/>
                <w:lang w:val="en-US" w:eastAsia="zh-CN"/>
              </w:rPr>
              <w:t>建筑</w:t>
            </w:r>
            <w:r>
              <w:rPr>
                <w:bCs/>
                <w:color w:val="auto"/>
                <w:sz w:val="24"/>
              </w:rPr>
              <w:t>面积</w:t>
            </w:r>
            <w:r>
              <w:rPr>
                <w:rFonts w:hint="eastAsia"/>
                <w:bCs/>
                <w:color w:val="auto"/>
                <w:sz w:val="24"/>
                <w:lang w:val="en-US" w:eastAsia="zh-CN"/>
              </w:rPr>
              <w:t>2500</w:t>
            </w:r>
            <w:r>
              <w:rPr>
                <w:bCs/>
                <w:color w:val="auto"/>
                <w:sz w:val="24"/>
              </w:rPr>
              <w:t>m</w:t>
            </w:r>
            <w:r>
              <w:rPr>
                <w:bCs/>
                <w:color w:val="auto"/>
                <w:sz w:val="24"/>
                <w:vertAlign w:val="superscript"/>
              </w:rPr>
              <w:t>2</w:t>
            </w:r>
            <w:r>
              <w:rPr>
                <w:bCs/>
                <w:color w:val="auto"/>
                <w:sz w:val="24"/>
              </w:rPr>
              <w:t>，</w:t>
            </w:r>
            <w:r>
              <w:rPr>
                <w:color w:val="auto"/>
                <w:sz w:val="24"/>
              </w:rPr>
              <w:t>本次施工</w:t>
            </w:r>
            <w:r>
              <w:rPr>
                <w:rFonts w:hint="eastAsia"/>
                <w:color w:val="auto"/>
                <w:sz w:val="24"/>
                <w:lang w:val="en-US" w:eastAsia="zh-CN"/>
              </w:rPr>
              <w:t>仅进行设备安装</w:t>
            </w:r>
            <w:r>
              <w:rPr>
                <w:color w:val="auto"/>
                <w:sz w:val="24"/>
              </w:rPr>
              <w:t>。</w:t>
            </w:r>
          </w:p>
          <w:p>
            <w:pPr>
              <w:adjustRightInd w:val="0"/>
              <w:snapToGrid w:val="0"/>
              <w:spacing w:line="360" w:lineRule="auto"/>
              <w:ind w:firstLine="360" w:firstLineChars="150"/>
              <w:rPr>
                <w:bCs/>
                <w:color w:val="auto"/>
                <w:sz w:val="24"/>
              </w:rPr>
            </w:pPr>
            <w:r>
              <w:rPr>
                <w:bCs/>
                <w:color w:val="auto"/>
                <w:sz w:val="24"/>
              </w:rPr>
              <w:t>项目施工期主要污染物有：废气（运输车辆机械尾气）、废水（施工人员生活污水）、噪声（机械噪声、车辆交通噪声）、固体废物（施工人员生活垃圾、废包装物）等。</w:t>
            </w:r>
          </w:p>
          <w:p>
            <w:pPr>
              <w:adjustRightInd w:val="0"/>
              <w:snapToGrid w:val="0"/>
              <w:spacing w:line="360" w:lineRule="auto"/>
              <w:ind w:firstLine="360" w:firstLineChars="150"/>
              <w:rPr>
                <w:bCs/>
                <w:color w:val="auto"/>
                <w:sz w:val="24"/>
                <w:highlight w:val="none"/>
              </w:rPr>
            </w:pPr>
            <w:r>
              <w:rPr>
                <w:bCs/>
                <w:color w:val="auto"/>
                <w:sz w:val="24"/>
                <w:highlight w:val="none"/>
              </w:rPr>
              <w:t>1、施工期废气环境保护措施</w:t>
            </w:r>
          </w:p>
          <w:p>
            <w:pPr>
              <w:adjustRightInd w:val="0"/>
              <w:snapToGrid w:val="0"/>
              <w:spacing w:line="360" w:lineRule="auto"/>
              <w:ind w:firstLine="360" w:firstLineChars="150"/>
              <w:rPr>
                <w:bCs/>
                <w:color w:val="auto"/>
                <w:sz w:val="24"/>
                <w:highlight w:val="none"/>
              </w:rPr>
            </w:pPr>
            <w:r>
              <w:rPr>
                <w:bCs/>
                <w:color w:val="auto"/>
                <w:sz w:val="24"/>
                <w:highlight w:val="none"/>
              </w:rPr>
              <w:t>本项目设备安装阶段废气主要为运输车辆、设备安装产生的少量汽车尾气，设备安装阶段运输车辆较少，经大气扩散后对周围环境影响较小。这些施工过程中产生的大气污染均为暂时性污染，随着施工过程的结束，该污染环节也将随之消失。</w:t>
            </w:r>
          </w:p>
          <w:p>
            <w:pPr>
              <w:adjustRightInd w:val="0"/>
              <w:snapToGrid w:val="0"/>
              <w:spacing w:line="360" w:lineRule="auto"/>
              <w:ind w:firstLine="360" w:firstLineChars="150"/>
              <w:rPr>
                <w:bCs/>
                <w:color w:val="auto"/>
                <w:sz w:val="24"/>
              </w:rPr>
            </w:pPr>
            <w:r>
              <w:rPr>
                <w:bCs/>
                <w:color w:val="auto"/>
                <w:sz w:val="24"/>
              </w:rPr>
              <w:t>2、施工期废水环境保护措施</w:t>
            </w:r>
          </w:p>
          <w:p>
            <w:pPr>
              <w:adjustRightInd w:val="0"/>
              <w:snapToGrid w:val="0"/>
              <w:spacing w:line="360" w:lineRule="auto"/>
              <w:ind w:firstLine="360" w:firstLineChars="150"/>
              <w:rPr>
                <w:bCs/>
                <w:color w:val="auto"/>
                <w:sz w:val="24"/>
              </w:rPr>
            </w:pPr>
            <w:r>
              <w:rPr>
                <w:bCs/>
                <w:color w:val="auto"/>
                <w:sz w:val="24"/>
              </w:rPr>
              <w:t>本项目在现有厂房内施工，施工人员生活污水依托</w:t>
            </w:r>
            <w:r>
              <w:rPr>
                <w:rFonts w:hint="eastAsia"/>
                <w:color w:val="auto"/>
                <w:sz w:val="24"/>
                <w:lang w:val="en-US" w:eastAsia="zh-CN"/>
              </w:rPr>
              <w:t>园区</w:t>
            </w:r>
            <w:r>
              <w:rPr>
                <w:bCs/>
                <w:color w:val="auto"/>
                <w:sz w:val="24"/>
              </w:rPr>
              <w:t>现有</w:t>
            </w:r>
            <w:r>
              <w:rPr>
                <w:rFonts w:hint="eastAsia"/>
                <w:bCs/>
                <w:color w:val="auto"/>
                <w:sz w:val="24"/>
                <w:lang w:val="en-US" w:eastAsia="zh-CN"/>
              </w:rPr>
              <w:t>的生活污水</w:t>
            </w:r>
            <w:r>
              <w:rPr>
                <w:bCs/>
                <w:color w:val="auto"/>
                <w:sz w:val="24"/>
              </w:rPr>
              <w:t>设施。</w:t>
            </w:r>
          </w:p>
          <w:p>
            <w:pPr>
              <w:adjustRightInd w:val="0"/>
              <w:snapToGrid w:val="0"/>
              <w:spacing w:line="360" w:lineRule="auto"/>
              <w:ind w:firstLine="360" w:firstLineChars="150"/>
              <w:rPr>
                <w:bCs/>
                <w:color w:val="auto"/>
                <w:sz w:val="24"/>
              </w:rPr>
            </w:pPr>
            <w:r>
              <w:rPr>
                <w:bCs/>
                <w:color w:val="auto"/>
                <w:sz w:val="24"/>
              </w:rPr>
              <w:t>3、施工期噪声环境保护措施</w:t>
            </w:r>
          </w:p>
          <w:p>
            <w:pPr>
              <w:adjustRightInd w:val="0"/>
              <w:snapToGrid w:val="0"/>
              <w:spacing w:line="360" w:lineRule="auto"/>
              <w:ind w:firstLine="360" w:firstLineChars="150"/>
              <w:rPr>
                <w:bCs/>
                <w:color w:val="auto"/>
                <w:sz w:val="24"/>
              </w:rPr>
            </w:pPr>
            <w:r>
              <w:rPr>
                <w:bCs/>
                <w:color w:val="auto"/>
                <w:sz w:val="24"/>
              </w:rPr>
              <w:t>本项目在现有厂房内购置相关生产设备，施工期主要为设备安装调试过程产生的偶发性噪声，施工期间采用科学合理的措施对设备进行安装调控，可有效减少偶发性噪声。</w:t>
            </w:r>
          </w:p>
          <w:p>
            <w:pPr>
              <w:adjustRightInd w:val="0"/>
              <w:snapToGrid w:val="0"/>
              <w:spacing w:line="360" w:lineRule="auto"/>
              <w:ind w:firstLine="360" w:firstLineChars="150"/>
              <w:rPr>
                <w:bCs/>
                <w:color w:val="auto"/>
                <w:sz w:val="24"/>
              </w:rPr>
            </w:pPr>
            <w:r>
              <w:rPr>
                <w:bCs/>
                <w:color w:val="auto"/>
                <w:sz w:val="24"/>
              </w:rPr>
              <w:t>4、施工期固废环境保护措施</w:t>
            </w:r>
          </w:p>
          <w:p>
            <w:pPr>
              <w:pStyle w:val="95"/>
              <w:snapToGrid/>
              <w:rPr>
                <w:bCs/>
                <w:color w:val="auto"/>
              </w:rPr>
            </w:pPr>
            <w:r>
              <w:rPr>
                <w:bCs/>
                <w:color w:val="auto"/>
              </w:rPr>
              <w:t>本项目施工期固体废物主要为设备安装产生的废包装材料及施工人员生活垃圾。施工期设备安装产生的废包装材料外售综合利用，不</w:t>
            </w:r>
            <w:r>
              <w:rPr>
                <w:rFonts w:hint="eastAsia"/>
                <w:bCs/>
                <w:color w:val="auto"/>
                <w:lang w:val="en-US" w:eastAsia="zh-CN"/>
              </w:rPr>
              <w:t>得</w:t>
            </w:r>
            <w:r>
              <w:rPr>
                <w:bCs/>
                <w:color w:val="auto"/>
              </w:rPr>
              <w:t>随意丢弃。施工人员生活垃圾定点收集后，定期交由当地环卫部门进行处置，对环境影响较小。由于项目施工周期较短，故在采取措施的情况下，项目施工期对周围环境影响较小。</w:t>
            </w:r>
          </w:p>
        </w:tc>
      </w:tr>
    </w:tbl>
    <w:p>
      <w:pPr>
        <w:adjustRightInd w:val="0"/>
        <w:snapToGrid w:val="0"/>
        <w:jc w:val="center"/>
        <w:rPr>
          <w:b/>
          <w:bCs/>
          <w:color w:val="auto"/>
          <w:sz w:val="24"/>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9"/>
        <w:tblW w:w="50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8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156" w:type="pct"/>
            <w:tcBorders>
              <w:left w:val="single" w:color="auto" w:sz="4" w:space="0"/>
            </w:tcBorders>
            <w:tcMar>
              <w:left w:w="28" w:type="dxa"/>
              <w:right w:w="28" w:type="dxa"/>
            </w:tcMar>
            <w:vAlign w:val="center"/>
          </w:tcPr>
          <w:p>
            <w:pPr>
              <w:adjustRightInd w:val="0"/>
              <w:snapToGrid w:val="0"/>
              <w:jc w:val="center"/>
              <w:rPr>
                <w:b/>
                <w:bCs/>
                <w:color w:val="auto"/>
                <w:sz w:val="24"/>
              </w:rPr>
            </w:pPr>
            <w:r>
              <w:rPr>
                <w:b/>
                <w:bCs/>
                <w:color w:val="auto"/>
                <w:sz w:val="24"/>
              </w:rPr>
              <w:t>运营</w:t>
            </w:r>
          </w:p>
          <w:p>
            <w:pPr>
              <w:adjustRightInd w:val="0"/>
              <w:snapToGrid w:val="0"/>
              <w:jc w:val="center"/>
              <w:rPr>
                <w:b/>
                <w:bCs/>
                <w:color w:val="auto"/>
                <w:sz w:val="24"/>
              </w:rPr>
            </w:pPr>
            <w:r>
              <w:rPr>
                <w:b/>
                <w:bCs/>
                <w:color w:val="auto"/>
                <w:sz w:val="24"/>
              </w:rPr>
              <w:t>期环</w:t>
            </w:r>
          </w:p>
          <w:p>
            <w:pPr>
              <w:adjustRightInd w:val="0"/>
              <w:snapToGrid w:val="0"/>
              <w:jc w:val="center"/>
              <w:rPr>
                <w:b/>
                <w:bCs/>
                <w:color w:val="auto"/>
                <w:sz w:val="24"/>
              </w:rPr>
            </w:pPr>
            <w:r>
              <w:rPr>
                <w:b/>
                <w:bCs/>
                <w:color w:val="auto"/>
                <w:sz w:val="24"/>
              </w:rPr>
              <w:t>境影</w:t>
            </w:r>
          </w:p>
          <w:p>
            <w:pPr>
              <w:adjustRightInd w:val="0"/>
              <w:snapToGrid w:val="0"/>
              <w:jc w:val="center"/>
              <w:rPr>
                <w:b/>
                <w:bCs/>
                <w:color w:val="auto"/>
                <w:sz w:val="24"/>
              </w:rPr>
            </w:pPr>
            <w:r>
              <w:rPr>
                <w:b/>
                <w:bCs/>
                <w:color w:val="auto"/>
                <w:sz w:val="24"/>
              </w:rPr>
              <w:t>响和</w:t>
            </w:r>
          </w:p>
          <w:p>
            <w:pPr>
              <w:adjustRightInd w:val="0"/>
              <w:snapToGrid w:val="0"/>
              <w:jc w:val="center"/>
              <w:rPr>
                <w:b/>
                <w:bCs/>
                <w:color w:val="auto"/>
                <w:sz w:val="24"/>
              </w:rPr>
            </w:pPr>
            <w:r>
              <w:rPr>
                <w:b/>
                <w:bCs/>
                <w:color w:val="auto"/>
                <w:sz w:val="24"/>
              </w:rPr>
              <w:t>保护</w:t>
            </w:r>
          </w:p>
          <w:p>
            <w:pPr>
              <w:adjustRightInd w:val="0"/>
              <w:snapToGrid w:val="0"/>
              <w:jc w:val="center"/>
              <w:rPr>
                <w:b/>
                <w:bCs/>
                <w:color w:val="auto"/>
                <w:sz w:val="24"/>
              </w:rPr>
            </w:pPr>
            <w:r>
              <w:rPr>
                <w:b/>
                <w:bCs/>
                <w:color w:val="auto"/>
                <w:sz w:val="24"/>
              </w:rPr>
              <w:t>措施</w:t>
            </w:r>
          </w:p>
        </w:tc>
        <w:tc>
          <w:tcPr>
            <w:tcW w:w="4843" w:type="pct"/>
            <w:vAlign w:val="center"/>
          </w:tcPr>
          <w:p>
            <w:pPr>
              <w:adjustRightInd w:val="0"/>
              <w:snapToGrid w:val="0"/>
              <w:spacing w:line="360" w:lineRule="auto"/>
              <w:ind w:firstLine="482" w:firstLineChars="200"/>
              <w:jc w:val="left"/>
              <w:rPr>
                <w:b/>
                <w:bCs/>
                <w:color w:val="auto"/>
                <w:sz w:val="24"/>
              </w:rPr>
            </w:pPr>
            <w:r>
              <w:rPr>
                <w:rFonts w:hint="eastAsia"/>
                <w:b/>
                <w:bCs/>
                <w:color w:val="auto"/>
                <w:sz w:val="24"/>
                <w:lang w:val="en-US" w:eastAsia="zh-CN"/>
              </w:rPr>
              <w:t>1</w:t>
            </w:r>
            <w:r>
              <w:rPr>
                <w:b/>
                <w:bCs/>
                <w:color w:val="auto"/>
                <w:sz w:val="24"/>
              </w:rPr>
              <w:t>、废气</w:t>
            </w:r>
          </w:p>
          <w:p>
            <w:pPr>
              <w:adjustRightInd w:val="0"/>
              <w:snapToGrid w:val="0"/>
              <w:spacing w:line="360" w:lineRule="auto"/>
              <w:ind w:firstLine="480"/>
              <w:rPr>
                <w:rFonts w:hint="default" w:eastAsia="宋体"/>
                <w:color w:val="auto"/>
                <w:sz w:val="24"/>
                <w:szCs w:val="32"/>
                <w:lang w:val="en-US" w:eastAsia="zh-CN"/>
              </w:rPr>
            </w:pPr>
            <w:r>
              <w:rPr>
                <w:rFonts w:hint="eastAsia"/>
                <w:color w:val="auto"/>
                <w:sz w:val="24"/>
                <w:szCs w:val="32"/>
              </w:rPr>
              <w:t>根据工艺流程，本项目废气主要是</w:t>
            </w:r>
            <w:r>
              <w:rPr>
                <w:rFonts w:hint="eastAsia"/>
                <w:color w:val="auto"/>
                <w:sz w:val="24"/>
                <w:szCs w:val="32"/>
                <w:lang w:val="en-US" w:eastAsia="zh-CN"/>
              </w:rPr>
              <w:t>回流焊产生的颗粒物、非甲烷总烃，非高压热压夹层机产生的非甲烷总烃以及单晶硅片串焊机和人工补焊机焊接电源、控制芯片产生的颗粒物、非甲烷总烃。其中回流焊废气负压收集、非高压热压夹层机抽真空的废气经收集后一起通过过滤棉+二级活性炭吸附箱处理，再经排气筒引至楼顶排放，排放口距地面高度为25m（1层和4层的生产线合并一根排气筒排放）。单晶硅片串焊机和焊接电源、控制芯片工序由人工焊接，废气经移动式焊烟净化器收集处理后车间内无组织排放。</w:t>
            </w:r>
          </w:p>
          <w:p>
            <w:pPr>
              <w:adjustRightInd w:val="0"/>
              <w:snapToGrid w:val="0"/>
              <w:spacing w:line="360" w:lineRule="auto"/>
              <w:ind w:firstLine="480"/>
              <w:rPr>
                <w:b/>
                <w:bCs/>
                <w:color w:val="auto"/>
                <w:sz w:val="24"/>
              </w:rPr>
            </w:pPr>
            <w:r>
              <w:rPr>
                <w:rFonts w:hint="eastAsia"/>
                <w:b/>
                <w:bCs/>
                <w:color w:val="auto"/>
                <w:sz w:val="24"/>
                <w:lang w:eastAsia="zh-CN"/>
              </w:rPr>
              <w:t>（</w:t>
            </w:r>
            <w:r>
              <w:rPr>
                <w:rFonts w:hint="eastAsia"/>
                <w:b/>
                <w:bCs/>
                <w:color w:val="auto"/>
                <w:sz w:val="24"/>
                <w:lang w:val="en-US" w:eastAsia="zh-CN"/>
              </w:rPr>
              <w:t>1</w:t>
            </w:r>
            <w:r>
              <w:rPr>
                <w:rFonts w:hint="eastAsia"/>
                <w:b/>
                <w:bCs/>
                <w:color w:val="auto"/>
                <w:sz w:val="24"/>
                <w:lang w:eastAsia="zh-CN"/>
              </w:rPr>
              <w:t>）</w:t>
            </w:r>
            <w:r>
              <w:rPr>
                <w:b/>
                <w:bCs/>
                <w:color w:val="auto"/>
                <w:sz w:val="24"/>
              </w:rPr>
              <w:t>废气污染源产排情况</w:t>
            </w:r>
          </w:p>
          <w:p>
            <w:pPr>
              <w:pStyle w:val="95"/>
              <w:snapToGrid/>
              <w:rPr>
                <w:color w:val="auto"/>
              </w:rPr>
            </w:pPr>
            <w:r>
              <w:rPr>
                <w:color w:val="auto"/>
              </w:rPr>
              <w:t>本项目废气产排信息见表4-1，废气排放口信息见表4-2。</w:t>
            </w:r>
          </w:p>
          <w:p>
            <w:pPr>
              <w:pStyle w:val="28"/>
              <w:spacing w:after="0"/>
              <w:ind w:left="0" w:leftChars="0" w:firstLine="0" w:firstLineChars="0"/>
              <w:jc w:val="center"/>
              <w:rPr>
                <w:b/>
                <w:bCs/>
                <w:color w:val="auto"/>
              </w:rPr>
            </w:pPr>
            <w:r>
              <w:rPr>
                <w:b/>
                <w:bCs/>
                <w:color w:val="auto"/>
              </w:rPr>
              <w:t>表4-1  废气污染源源强核算结果及相关参数一览表</w:t>
            </w:r>
          </w:p>
          <w:tbl>
            <w:tblPr>
              <w:tblStyle w:val="30"/>
              <w:tblW w:w="12596"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900"/>
              <w:gridCol w:w="695"/>
              <w:gridCol w:w="682"/>
              <w:gridCol w:w="801"/>
              <w:gridCol w:w="1337"/>
              <w:gridCol w:w="2662"/>
              <w:gridCol w:w="1064"/>
              <w:gridCol w:w="736"/>
              <w:gridCol w:w="869"/>
              <w:gridCol w:w="1064"/>
              <w:gridCol w:w="7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67" w:hRule="atLeast"/>
              </w:trPr>
              <w:tc>
                <w:tcPr>
                  <w:tcW w:w="1007" w:type="dxa"/>
                  <w:vMerge w:val="restart"/>
                  <w:vAlign w:val="center"/>
                </w:tcPr>
                <w:p>
                  <w:pPr>
                    <w:jc w:val="center"/>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产污环节</w:t>
                  </w:r>
                </w:p>
              </w:tc>
              <w:tc>
                <w:tcPr>
                  <w:tcW w:w="900" w:type="dxa"/>
                  <w:vMerge w:val="restart"/>
                  <w:vAlign w:val="center"/>
                </w:tcPr>
                <w:p>
                  <w:pPr>
                    <w:jc w:val="center"/>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污染物</w:t>
                  </w:r>
                </w:p>
              </w:tc>
              <w:tc>
                <w:tcPr>
                  <w:tcW w:w="695" w:type="dxa"/>
                  <w:vMerge w:val="restart"/>
                  <w:vAlign w:val="center"/>
                </w:tcPr>
                <w:p>
                  <w:pPr>
                    <w:jc w:val="center"/>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排放方式</w:t>
                  </w:r>
                </w:p>
              </w:tc>
              <w:tc>
                <w:tcPr>
                  <w:tcW w:w="682" w:type="dxa"/>
                  <w:vMerge w:val="restart"/>
                  <w:vAlign w:val="center"/>
                </w:tcPr>
                <w:p>
                  <w:pPr>
                    <w:jc w:val="center"/>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排气筒</w:t>
                  </w:r>
                </w:p>
              </w:tc>
              <w:tc>
                <w:tcPr>
                  <w:tcW w:w="801" w:type="dxa"/>
                  <w:vMerge w:val="restart"/>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产生量kg/a</w:t>
                  </w:r>
                </w:p>
              </w:tc>
              <w:tc>
                <w:tcPr>
                  <w:tcW w:w="5063" w:type="dxa"/>
                  <w:gridSpan w:val="3"/>
                  <w:vAlign w:val="center"/>
                </w:tcPr>
                <w:p>
                  <w:pPr>
                    <w:jc w:val="center"/>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收集治理措施</w:t>
                  </w:r>
                </w:p>
              </w:tc>
              <w:tc>
                <w:tcPr>
                  <w:tcW w:w="736" w:type="dxa"/>
                  <w:vMerge w:val="restart"/>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风量m</w:t>
                  </w:r>
                  <w:r>
                    <w:rPr>
                      <w:rFonts w:hint="eastAsia"/>
                      <w:b/>
                      <w:bCs/>
                      <w:color w:val="auto"/>
                      <w:sz w:val="21"/>
                      <w:szCs w:val="21"/>
                      <w:vertAlign w:val="superscript"/>
                      <w:lang w:val="en-US" w:eastAsia="zh-CN"/>
                    </w:rPr>
                    <w:t>3</w:t>
                  </w:r>
                  <w:r>
                    <w:rPr>
                      <w:rFonts w:hint="eastAsia"/>
                      <w:b/>
                      <w:bCs/>
                      <w:color w:val="auto"/>
                      <w:sz w:val="21"/>
                      <w:szCs w:val="21"/>
                      <w:vertAlign w:val="baseline"/>
                      <w:lang w:val="en-US" w:eastAsia="zh-CN"/>
                    </w:rPr>
                    <w:t>/h</w:t>
                  </w:r>
                </w:p>
              </w:tc>
              <w:tc>
                <w:tcPr>
                  <w:tcW w:w="869" w:type="dxa"/>
                  <w:vMerge w:val="restart"/>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排放量kg/a</w:t>
                  </w:r>
                </w:p>
              </w:tc>
              <w:tc>
                <w:tcPr>
                  <w:tcW w:w="1064" w:type="dxa"/>
                  <w:vMerge w:val="restart"/>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排放浓度mg/m</w:t>
                  </w:r>
                  <w:r>
                    <w:rPr>
                      <w:rFonts w:hint="eastAsia"/>
                      <w:b/>
                      <w:bCs/>
                      <w:color w:val="auto"/>
                      <w:sz w:val="21"/>
                      <w:szCs w:val="21"/>
                      <w:vertAlign w:val="superscript"/>
                      <w:lang w:val="en-US" w:eastAsia="zh-CN"/>
                    </w:rPr>
                    <w:t>3</w:t>
                  </w:r>
                </w:p>
              </w:tc>
              <w:tc>
                <w:tcPr>
                  <w:tcW w:w="779" w:type="dxa"/>
                  <w:vMerge w:val="restart"/>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时间h/a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07" w:type="dxa"/>
                  <w:vMerge w:val="continue"/>
                  <w:vAlign w:val="center"/>
                </w:tcPr>
                <w:p>
                  <w:pPr>
                    <w:jc w:val="center"/>
                    <w:rPr>
                      <w:color w:val="auto"/>
                      <w:sz w:val="21"/>
                      <w:szCs w:val="21"/>
                    </w:rPr>
                  </w:pPr>
                </w:p>
              </w:tc>
              <w:tc>
                <w:tcPr>
                  <w:tcW w:w="900" w:type="dxa"/>
                  <w:vMerge w:val="continue"/>
                  <w:vAlign w:val="center"/>
                </w:tcPr>
                <w:p>
                  <w:pPr>
                    <w:jc w:val="center"/>
                    <w:rPr>
                      <w:color w:val="auto"/>
                      <w:sz w:val="21"/>
                      <w:szCs w:val="21"/>
                    </w:rPr>
                  </w:pPr>
                </w:p>
              </w:tc>
              <w:tc>
                <w:tcPr>
                  <w:tcW w:w="695" w:type="dxa"/>
                  <w:vMerge w:val="continue"/>
                  <w:vAlign w:val="center"/>
                </w:tcPr>
                <w:p>
                  <w:pPr>
                    <w:jc w:val="center"/>
                    <w:rPr>
                      <w:color w:val="auto"/>
                      <w:sz w:val="21"/>
                      <w:szCs w:val="21"/>
                    </w:rPr>
                  </w:pPr>
                </w:p>
              </w:tc>
              <w:tc>
                <w:tcPr>
                  <w:tcW w:w="682" w:type="dxa"/>
                  <w:vMerge w:val="continue"/>
                  <w:vAlign w:val="center"/>
                </w:tcPr>
                <w:p>
                  <w:pPr>
                    <w:jc w:val="center"/>
                    <w:rPr>
                      <w:color w:val="auto"/>
                      <w:sz w:val="21"/>
                      <w:szCs w:val="21"/>
                    </w:rPr>
                  </w:pPr>
                </w:p>
              </w:tc>
              <w:tc>
                <w:tcPr>
                  <w:tcW w:w="801" w:type="dxa"/>
                  <w:vMerge w:val="continue"/>
                  <w:vAlign w:val="center"/>
                </w:tcPr>
                <w:p>
                  <w:pPr>
                    <w:jc w:val="center"/>
                    <w:rPr>
                      <w:color w:val="auto"/>
                      <w:sz w:val="21"/>
                      <w:szCs w:val="21"/>
                    </w:rPr>
                  </w:pPr>
                </w:p>
              </w:tc>
              <w:tc>
                <w:tcPr>
                  <w:tcW w:w="1337" w:type="dxa"/>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设施名称</w:t>
                  </w:r>
                </w:p>
              </w:tc>
              <w:tc>
                <w:tcPr>
                  <w:tcW w:w="2662" w:type="dxa"/>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效率/%</w:t>
                  </w:r>
                </w:p>
              </w:tc>
              <w:tc>
                <w:tcPr>
                  <w:tcW w:w="1064" w:type="dxa"/>
                  <w:vAlign w:val="center"/>
                </w:tcPr>
                <w:p>
                  <w:pPr>
                    <w:jc w:val="center"/>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是否为可行技术</w:t>
                  </w:r>
                </w:p>
              </w:tc>
              <w:tc>
                <w:tcPr>
                  <w:tcW w:w="736" w:type="dxa"/>
                  <w:vMerge w:val="continue"/>
                  <w:vAlign w:val="center"/>
                </w:tcPr>
                <w:p>
                  <w:pPr>
                    <w:jc w:val="center"/>
                    <w:rPr>
                      <w:b/>
                      <w:bCs/>
                      <w:color w:val="auto"/>
                      <w:sz w:val="21"/>
                      <w:szCs w:val="21"/>
                      <w:vertAlign w:val="baseline"/>
                    </w:rPr>
                  </w:pPr>
                </w:p>
              </w:tc>
              <w:tc>
                <w:tcPr>
                  <w:tcW w:w="869" w:type="dxa"/>
                  <w:vMerge w:val="continue"/>
                  <w:vAlign w:val="center"/>
                </w:tcPr>
                <w:p>
                  <w:pPr>
                    <w:jc w:val="center"/>
                    <w:rPr>
                      <w:b/>
                      <w:bCs/>
                      <w:color w:val="auto"/>
                      <w:sz w:val="21"/>
                      <w:szCs w:val="21"/>
                      <w:vertAlign w:val="baseline"/>
                    </w:rPr>
                  </w:pPr>
                </w:p>
              </w:tc>
              <w:tc>
                <w:tcPr>
                  <w:tcW w:w="1064" w:type="dxa"/>
                  <w:vMerge w:val="continue"/>
                  <w:vAlign w:val="center"/>
                </w:tcPr>
                <w:p>
                  <w:pPr>
                    <w:jc w:val="center"/>
                    <w:rPr>
                      <w:b/>
                      <w:bCs/>
                      <w:color w:val="auto"/>
                      <w:sz w:val="21"/>
                      <w:szCs w:val="21"/>
                      <w:vertAlign w:val="baseline"/>
                    </w:rPr>
                  </w:pPr>
                </w:p>
              </w:tc>
              <w:tc>
                <w:tcPr>
                  <w:tcW w:w="779" w:type="dxa"/>
                  <w:vMerge w:val="continue"/>
                  <w:vAlign w:val="center"/>
                </w:tcPr>
                <w:p>
                  <w:pPr>
                    <w:jc w:val="center"/>
                    <w:rPr>
                      <w:b/>
                      <w:bCs/>
                      <w:color w:val="auto"/>
                      <w:sz w:val="21"/>
                      <w:szCs w:val="21"/>
                      <w:vertAlign w:val="baseli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007"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回流焊、非高压热压夹层机</w:t>
                  </w:r>
                </w:p>
              </w:tc>
              <w:tc>
                <w:tcPr>
                  <w:tcW w:w="900" w:type="dxa"/>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颗粒物</w:t>
                  </w:r>
                </w:p>
              </w:tc>
              <w:tc>
                <w:tcPr>
                  <w:tcW w:w="695"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w:t>
                  </w:r>
                </w:p>
              </w:tc>
              <w:tc>
                <w:tcPr>
                  <w:tcW w:w="682"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DA001</w:t>
                  </w:r>
                </w:p>
              </w:tc>
              <w:tc>
                <w:tcPr>
                  <w:tcW w:w="801" w:type="dxa"/>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5.457</w:t>
                  </w:r>
                </w:p>
              </w:tc>
              <w:tc>
                <w:tcPr>
                  <w:tcW w:w="1337"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负压收集+风冷降温+过滤棉+二级活性炭+排气筒</w:t>
                  </w:r>
                </w:p>
              </w:tc>
              <w:tc>
                <w:tcPr>
                  <w:tcW w:w="2662"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回流焊收集效率90%、非高压热压夹层机收集效率100%；颗粒物去除效率90%、非甲烷总烃去除效率75%</w:t>
                  </w:r>
                </w:p>
              </w:tc>
              <w:tc>
                <w:tcPr>
                  <w:tcW w:w="1064" w:type="dxa"/>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是</w:t>
                  </w:r>
                </w:p>
              </w:tc>
              <w:tc>
                <w:tcPr>
                  <w:tcW w:w="736"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4000</w:t>
                  </w:r>
                </w:p>
              </w:tc>
              <w:tc>
                <w:tcPr>
                  <w:tcW w:w="869" w:type="dxa"/>
                  <w:vAlign w:val="center"/>
                </w:tcPr>
                <w:p>
                  <w:pPr>
                    <w:jc w:val="center"/>
                    <w:rPr>
                      <w:rFonts w:hint="default"/>
                      <w:b w:val="0"/>
                      <w:bCs w:val="0"/>
                      <w:color w:val="auto"/>
                      <w:sz w:val="21"/>
                      <w:szCs w:val="21"/>
                      <w:vertAlign w:val="baseline"/>
                      <w:lang w:val="en-US"/>
                    </w:rPr>
                  </w:pPr>
                  <w:r>
                    <w:rPr>
                      <w:rFonts w:hint="eastAsia"/>
                      <w:color w:val="auto"/>
                      <w:sz w:val="21"/>
                      <w:szCs w:val="21"/>
                      <w:lang w:val="en-US" w:eastAsia="zh-CN"/>
                    </w:rPr>
                    <w:t>0.49</w:t>
                  </w:r>
                </w:p>
              </w:tc>
              <w:tc>
                <w:tcPr>
                  <w:tcW w:w="1064" w:type="dxa"/>
                  <w:vAlign w:val="center"/>
                </w:tcPr>
                <w:p>
                  <w:pPr>
                    <w:jc w:val="center"/>
                    <w:rPr>
                      <w:rFonts w:hint="default"/>
                      <w:b w:val="0"/>
                      <w:bCs w:val="0"/>
                      <w:color w:val="auto"/>
                      <w:sz w:val="21"/>
                      <w:szCs w:val="21"/>
                      <w:vertAlign w:val="baseline"/>
                      <w:lang w:val="en-US"/>
                    </w:rPr>
                  </w:pPr>
                  <w:r>
                    <w:rPr>
                      <w:rFonts w:hint="eastAsia"/>
                      <w:color w:val="auto"/>
                      <w:sz w:val="21"/>
                      <w:szCs w:val="21"/>
                      <w:lang w:val="en-US" w:eastAsia="zh-CN"/>
                    </w:rPr>
                    <w:t>0.051</w:t>
                  </w:r>
                </w:p>
              </w:tc>
              <w:tc>
                <w:tcPr>
                  <w:tcW w:w="779" w:type="dxa"/>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007" w:type="dxa"/>
                  <w:vMerge w:val="continue"/>
                  <w:vAlign w:val="center"/>
                </w:tcPr>
                <w:p>
                  <w:pPr>
                    <w:jc w:val="center"/>
                    <w:rPr>
                      <w:rFonts w:hint="eastAsia"/>
                      <w:b w:val="0"/>
                      <w:bCs w:val="0"/>
                      <w:color w:val="auto"/>
                      <w:sz w:val="21"/>
                      <w:szCs w:val="21"/>
                      <w:vertAlign w:val="baseline"/>
                      <w:lang w:val="en-US" w:eastAsia="zh-CN"/>
                    </w:rPr>
                  </w:pPr>
                </w:p>
              </w:tc>
              <w:tc>
                <w:tcPr>
                  <w:tcW w:w="900"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锡及其化合物</w:t>
                  </w:r>
                </w:p>
              </w:tc>
              <w:tc>
                <w:tcPr>
                  <w:tcW w:w="695" w:type="dxa"/>
                  <w:vMerge w:val="continue"/>
                  <w:vAlign w:val="center"/>
                </w:tcPr>
                <w:p>
                  <w:pPr>
                    <w:jc w:val="center"/>
                    <w:rPr>
                      <w:rFonts w:hint="eastAsia"/>
                      <w:b w:val="0"/>
                      <w:bCs w:val="0"/>
                      <w:color w:val="auto"/>
                      <w:sz w:val="21"/>
                      <w:szCs w:val="21"/>
                      <w:vertAlign w:val="baseline"/>
                      <w:lang w:val="en-US" w:eastAsia="zh-CN"/>
                    </w:rPr>
                  </w:pPr>
                </w:p>
              </w:tc>
              <w:tc>
                <w:tcPr>
                  <w:tcW w:w="682" w:type="dxa"/>
                  <w:vMerge w:val="continue"/>
                  <w:vAlign w:val="center"/>
                </w:tcPr>
                <w:p>
                  <w:pPr>
                    <w:jc w:val="center"/>
                    <w:rPr>
                      <w:rFonts w:hint="eastAsia"/>
                      <w:b w:val="0"/>
                      <w:bCs w:val="0"/>
                      <w:color w:val="auto"/>
                      <w:sz w:val="21"/>
                      <w:szCs w:val="21"/>
                      <w:vertAlign w:val="baseline"/>
                      <w:lang w:val="en-US" w:eastAsia="zh-CN"/>
                    </w:rPr>
                  </w:pPr>
                </w:p>
              </w:tc>
              <w:tc>
                <w:tcPr>
                  <w:tcW w:w="801"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4.622</w:t>
                  </w:r>
                </w:p>
              </w:tc>
              <w:tc>
                <w:tcPr>
                  <w:tcW w:w="1337" w:type="dxa"/>
                  <w:vMerge w:val="continue"/>
                  <w:vAlign w:val="center"/>
                </w:tcPr>
                <w:p>
                  <w:pPr>
                    <w:jc w:val="center"/>
                    <w:rPr>
                      <w:rFonts w:hint="eastAsia"/>
                      <w:b w:val="0"/>
                      <w:bCs w:val="0"/>
                      <w:color w:val="auto"/>
                      <w:sz w:val="21"/>
                      <w:szCs w:val="21"/>
                      <w:vertAlign w:val="baseline"/>
                      <w:lang w:val="en-US" w:eastAsia="zh-CN"/>
                    </w:rPr>
                  </w:pPr>
                </w:p>
              </w:tc>
              <w:tc>
                <w:tcPr>
                  <w:tcW w:w="2662" w:type="dxa"/>
                  <w:vMerge w:val="continue"/>
                  <w:vAlign w:val="center"/>
                </w:tcPr>
                <w:p>
                  <w:pPr>
                    <w:jc w:val="center"/>
                    <w:rPr>
                      <w:rFonts w:hint="eastAsia"/>
                      <w:b w:val="0"/>
                      <w:bCs w:val="0"/>
                      <w:color w:val="auto"/>
                      <w:sz w:val="21"/>
                      <w:szCs w:val="21"/>
                      <w:vertAlign w:val="baseline"/>
                      <w:lang w:val="en-US" w:eastAsia="zh-CN"/>
                    </w:rPr>
                  </w:pPr>
                </w:p>
              </w:tc>
              <w:tc>
                <w:tcPr>
                  <w:tcW w:w="1064"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是</w:t>
                  </w:r>
                </w:p>
              </w:tc>
              <w:tc>
                <w:tcPr>
                  <w:tcW w:w="736" w:type="dxa"/>
                  <w:vMerge w:val="continue"/>
                  <w:vAlign w:val="center"/>
                </w:tcPr>
                <w:p>
                  <w:pPr>
                    <w:jc w:val="center"/>
                    <w:rPr>
                      <w:rFonts w:hint="eastAsia"/>
                      <w:b w:val="0"/>
                      <w:bCs w:val="0"/>
                      <w:color w:val="auto"/>
                      <w:sz w:val="21"/>
                      <w:szCs w:val="21"/>
                      <w:vertAlign w:val="baseline"/>
                      <w:lang w:val="en-US" w:eastAsia="zh-CN"/>
                    </w:rPr>
                  </w:pPr>
                </w:p>
              </w:tc>
              <w:tc>
                <w:tcPr>
                  <w:tcW w:w="869" w:type="dxa"/>
                  <w:vAlign w:val="center"/>
                </w:tcPr>
                <w:p>
                  <w:pPr>
                    <w:jc w:val="center"/>
                    <w:rPr>
                      <w:rFonts w:hint="default"/>
                      <w:color w:val="auto"/>
                      <w:sz w:val="21"/>
                      <w:szCs w:val="21"/>
                      <w:lang w:val="en-US" w:eastAsia="zh-CN"/>
                    </w:rPr>
                  </w:pPr>
                  <w:r>
                    <w:rPr>
                      <w:rFonts w:hint="eastAsia"/>
                      <w:color w:val="auto"/>
                      <w:sz w:val="21"/>
                      <w:szCs w:val="21"/>
                      <w:lang w:val="en-US" w:eastAsia="zh-CN"/>
                    </w:rPr>
                    <w:t>0.416</w:t>
                  </w:r>
                </w:p>
              </w:tc>
              <w:tc>
                <w:tcPr>
                  <w:tcW w:w="1064" w:type="dxa"/>
                  <w:vAlign w:val="center"/>
                </w:tcPr>
                <w:p>
                  <w:pPr>
                    <w:jc w:val="center"/>
                    <w:rPr>
                      <w:rFonts w:hint="default"/>
                      <w:color w:val="auto"/>
                      <w:sz w:val="21"/>
                      <w:szCs w:val="21"/>
                      <w:lang w:val="en-US" w:eastAsia="zh-CN"/>
                    </w:rPr>
                  </w:pPr>
                  <w:r>
                    <w:rPr>
                      <w:rFonts w:hint="eastAsia"/>
                      <w:color w:val="auto"/>
                      <w:sz w:val="21"/>
                      <w:szCs w:val="21"/>
                      <w:lang w:val="en-US" w:eastAsia="zh-CN"/>
                    </w:rPr>
                    <w:t>0.043</w:t>
                  </w:r>
                </w:p>
              </w:tc>
              <w:tc>
                <w:tcPr>
                  <w:tcW w:w="779"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dxa"/>
                  <w:vMerge w:val="continue"/>
                  <w:vAlign w:val="center"/>
                </w:tcPr>
                <w:p>
                  <w:pPr>
                    <w:jc w:val="center"/>
                    <w:rPr>
                      <w:b w:val="0"/>
                      <w:bCs w:val="0"/>
                      <w:color w:val="auto"/>
                      <w:sz w:val="21"/>
                      <w:szCs w:val="21"/>
                      <w:vertAlign w:val="baseline"/>
                    </w:rPr>
                  </w:pPr>
                </w:p>
              </w:tc>
              <w:tc>
                <w:tcPr>
                  <w:tcW w:w="900" w:type="dxa"/>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非甲烷总烃</w:t>
                  </w:r>
                </w:p>
              </w:tc>
              <w:tc>
                <w:tcPr>
                  <w:tcW w:w="695" w:type="dxa"/>
                  <w:vMerge w:val="continue"/>
                  <w:vAlign w:val="center"/>
                </w:tcPr>
                <w:p>
                  <w:pPr>
                    <w:jc w:val="center"/>
                    <w:rPr>
                      <w:b w:val="0"/>
                      <w:bCs w:val="0"/>
                      <w:color w:val="auto"/>
                      <w:sz w:val="21"/>
                      <w:szCs w:val="21"/>
                      <w:vertAlign w:val="baseline"/>
                    </w:rPr>
                  </w:pPr>
                </w:p>
              </w:tc>
              <w:tc>
                <w:tcPr>
                  <w:tcW w:w="682" w:type="dxa"/>
                  <w:vMerge w:val="continue"/>
                  <w:vAlign w:val="center"/>
                </w:tcPr>
                <w:p>
                  <w:pPr>
                    <w:jc w:val="center"/>
                    <w:rPr>
                      <w:b w:val="0"/>
                      <w:bCs w:val="0"/>
                      <w:color w:val="auto"/>
                      <w:sz w:val="21"/>
                      <w:szCs w:val="21"/>
                      <w:vertAlign w:val="baseline"/>
                    </w:rPr>
                  </w:pPr>
                </w:p>
              </w:tc>
              <w:tc>
                <w:tcPr>
                  <w:tcW w:w="801" w:type="dxa"/>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17.82</w:t>
                  </w:r>
                </w:p>
              </w:tc>
              <w:tc>
                <w:tcPr>
                  <w:tcW w:w="1337" w:type="dxa"/>
                  <w:vMerge w:val="continue"/>
                  <w:vAlign w:val="center"/>
                </w:tcPr>
                <w:p>
                  <w:pPr>
                    <w:jc w:val="center"/>
                    <w:rPr>
                      <w:b w:val="0"/>
                      <w:bCs w:val="0"/>
                      <w:color w:val="auto"/>
                      <w:sz w:val="21"/>
                      <w:szCs w:val="21"/>
                      <w:vertAlign w:val="baseline"/>
                    </w:rPr>
                  </w:pPr>
                </w:p>
              </w:tc>
              <w:tc>
                <w:tcPr>
                  <w:tcW w:w="2662" w:type="dxa"/>
                  <w:vMerge w:val="continue"/>
                  <w:vAlign w:val="center"/>
                </w:tcPr>
                <w:p>
                  <w:pPr>
                    <w:jc w:val="center"/>
                    <w:rPr>
                      <w:b w:val="0"/>
                      <w:bCs w:val="0"/>
                      <w:color w:val="auto"/>
                      <w:sz w:val="21"/>
                      <w:szCs w:val="21"/>
                      <w:vertAlign w:val="baseline"/>
                    </w:rPr>
                  </w:pPr>
                </w:p>
              </w:tc>
              <w:tc>
                <w:tcPr>
                  <w:tcW w:w="1064" w:type="dxa"/>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是</w:t>
                  </w:r>
                </w:p>
              </w:tc>
              <w:tc>
                <w:tcPr>
                  <w:tcW w:w="736" w:type="dxa"/>
                  <w:vMerge w:val="continue"/>
                  <w:vAlign w:val="center"/>
                </w:tcPr>
                <w:p>
                  <w:pPr>
                    <w:jc w:val="center"/>
                    <w:rPr>
                      <w:b w:val="0"/>
                      <w:bCs w:val="0"/>
                      <w:color w:val="auto"/>
                      <w:sz w:val="21"/>
                      <w:szCs w:val="21"/>
                      <w:vertAlign w:val="baseline"/>
                    </w:rPr>
                  </w:pPr>
                </w:p>
              </w:tc>
              <w:tc>
                <w:tcPr>
                  <w:tcW w:w="869" w:type="dxa"/>
                  <w:vAlign w:val="center"/>
                </w:tcPr>
                <w:p>
                  <w:pPr>
                    <w:jc w:val="center"/>
                    <w:rPr>
                      <w:b w:val="0"/>
                      <w:bCs w:val="0"/>
                      <w:color w:val="auto"/>
                      <w:sz w:val="21"/>
                      <w:szCs w:val="21"/>
                      <w:vertAlign w:val="baseline"/>
                    </w:rPr>
                  </w:pPr>
                  <w:r>
                    <w:rPr>
                      <w:rFonts w:hint="eastAsia"/>
                      <w:color w:val="auto"/>
                      <w:sz w:val="21"/>
                      <w:szCs w:val="21"/>
                      <w:lang w:val="en-US" w:eastAsia="zh-CN"/>
                    </w:rPr>
                    <w:t>4.41</w:t>
                  </w:r>
                </w:p>
              </w:tc>
              <w:tc>
                <w:tcPr>
                  <w:tcW w:w="1064" w:type="dxa"/>
                  <w:vAlign w:val="center"/>
                </w:tcPr>
                <w:p>
                  <w:pPr>
                    <w:jc w:val="center"/>
                    <w:rPr>
                      <w:rFonts w:hint="default"/>
                      <w:b w:val="0"/>
                      <w:bCs w:val="0"/>
                      <w:color w:val="auto"/>
                      <w:sz w:val="21"/>
                      <w:szCs w:val="21"/>
                      <w:vertAlign w:val="baseline"/>
                      <w:lang w:val="en-US"/>
                    </w:rPr>
                  </w:pPr>
                  <w:r>
                    <w:rPr>
                      <w:rFonts w:hint="eastAsia"/>
                      <w:color w:val="auto"/>
                      <w:sz w:val="21"/>
                      <w:szCs w:val="21"/>
                      <w:lang w:val="en-US" w:eastAsia="zh-CN"/>
                    </w:rPr>
                    <w:t>0.46</w:t>
                  </w:r>
                </w:p>
              </w:tc>
              <w:tc>
                <w:tcPr>
                  <w:tcW w:w="779" w:type="dxa"/>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回流焊</w:t>
                  </w:r>
                </w:p>
              </w:tc>
              <w:tc>
                <w:tcPr>
                  <w:tcW w:w="900" w:type="dxa"/>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颗粒物</w:t>
                  </w:r>
                </w:p>
              </w:tc>
              <w:tc>
                <w:tcPr>
                  <w:tcW w:w="695"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无组织</w:t>
                  </w:r>
                </w:p>
              </w:tc>
              <w:tc>
                <w:tcPr>
                  <w:tcW w:w="682"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801" w:type="dxa"/>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5.457</w:t>
                  </w:r>
                </w:p>
              </w:tc>
              <w:tc>
                <w:tcPr>
                  <w:tcW w:w="1337"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2662"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回流焊收集效率90%</w:t>
                  </w:r>
                </w:p>
              </w:tc>
              <w:tc>
                <w:tcPr>
                  <w:tcW w:w="1064"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736"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869" w:type="dxa"/>
                  <w:vAlign w:val="center"/>
                </w:tcPr>
                <w:p>
                  <w:pPr>
                    <w:jc w:val="center"/>
                    <w:rPr>
                      <w:rFonts w:hint="default" w:eastAsia="宋体"/>
                      <w:b w:val="0"/>
                      <w:bCs w:val="0"/>
                      <w:color w:val="auto"/>
                      <w:sz w:val="21"/>
                      <w:szCs w:val="21"/>
                      <w:vertAlign w:val="baseline"/>
                      <w:lang w:val="en-US" w:eastAsia="zh-CN"/>
                    </w:rPr>
                  </w:pPr>
                  <w:r>
                    <w:rPr>
                      <w:rFonts w:hint="eastAsia"/>
                      <w:color w:val="auto"/>
                      <w:sz w:val="21"/>
                      <w:szCs w:val="21"/>
                    </w:rPr>
                    <w:t>0</w:t>
                  </w:r>
                  <w:r>
                    <w:rPr>
                      <w:color w:val="auto"/>
                      <w:sz w:val="21"/>
                      <w:szCs w:val="21"/>
                    </w:rPr>
                    <w:t>.</w:t>
                  </w:r>
                  <w:r>
                    <w:rPr>
                      <w:rFonts w:hint="eastAsia"/>
                      <w:color w:val="auto"/>
                      <w:sz w:val="21"/>
                      <w:szCs w:val="21"/>
                      <w:lang w:val="en-US" w:eastAsia="zh-CN"/>
                    </w:rPr>
                    <w:t>55</w:t>
                  </w:r>
                </w:p>
              </w:tc>
              <w:tc>
                <w:tcPr>
                  <w:tcW w:w="1064"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779"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dxa"/>
                  <w:vMerge w:val="continue"/>
                  <w:vAlign w:val="center"/>
                </w:tcPr>
                <w:p>
                  <w:pPr>
                    <w:jc w:val="center"/>
                    <w:rPr>
                      <w:rFonts w:hint="eastAsia"/>
                      <w:b w:val="0"/>
                      <w:bCs w:val="0"/>
                      <w:color w:val="auto"/>
                      <w:sz w:val="21"/>
                      <w:szCs w:val="21"/>
                      <w:vertAlign w:val="baseline"/>
                      <w:lang w:val="en-US" w:eastAsia="zh-CN"/>
                    </w:rPr>
                  </w:pPr>
                </w:p>
              </w:tc>
              <w:tc>
                <w:tcPr>
                  <w:tcW w:w="900"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锡及其化合物</w:t>
                  </w:r>
                </w:p>
              </w:tc>
              <w:tc>
                <w:tcPr>
                  <w:tcW w:w="695" w:type="dxa"/>
                  <w:vMerge w:val="continue"/>
                  <w:vAlign w:val="center"/>
                </w:tcPr>
                <w:p>
                  <w:pPr>
                    <w:jc w:val="center"/>
                    <w:rPr>
                      <w:rFonts w:hint="eastAsia"/>
                      <w:b w:val="0"/>
                      <w:bCs w:val="0"/>
                      <w:color w:val="auto"/>
                      <w:sz w:val="21"/>
                      <w:szCs w:val="21"/>
                      <w:vertAlign w:val="baseline"/>
                      <w:lang w:val="en-US" w:eastAsia="zh-CN"/>
                    </w:rPr>
                  </w:pPr>
                </w:p>
              </w:tc>
              <w:tc>
                <w:tcPr>
                  <w:tcW w:w="682" w:type="dxa"/>
                  <w:vMerge w:val="continue"/>
                  <w:vAlign w:val="center"/>
                </w:tcPr>
                <w:p>
                  <w:pPr>
                    <w:jc w:val="center"/>
                    <w:rPr>
                      <w:rFonts w:hint="eastAsia"/>
                      <w:b w:val="0"/>
                      <w:bCs w:val="0"/>
                      <w:color w:val="auto"/>
                      <w:sz w:val="21"/>
                      <w:szCs w:val="21"/>
                      <w:vertAlign w:val="baseline"/>
                      <w:lang w:val="en-US" w:eastAsia="zh-CN"/>
                    </w:rPr>
                  </w:pPr>
                </w:p>
              </w:tc>
              <w:tc>
                <w:tcPr>
                  <w:tcW w:w="801"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4.622</w:t>
                  </w:r>
                </w:p>
              </w:tc>
              <w:tc>
                <w:tcPr>
                  <w:tcW w:w="1337" w:type="dxa"/>
                  <w:vMerge w:val="continue"/>
                  <w:vAlign w:val="center"/>
                </w:tcPr>
                <w:p>
                  <w:pPr>
                    <w:jc w:val="center"/>
                    <w:rPr>
                      <w:rFonts w:hint="eastAsia"/>
                      <w:b w:val="0"/>
                      <w:bCs w:val="0"/>
                      <w:color w:val="auto"/>
                      <w:sz w:val="21"/>
                      <w:szCs w:val="21"/>
                      <w:vertAlign w:val="baseline"/>
                      <w:lang w:val="en-US" w:eastAsia="zh-CN"/>
                    </w:rPr>
                  </w:pPr>
                </w:p>
              </w:tc>
              <w:tc>
                <w:tcPr>
                  <w:tcW w:w="2662" w:type="dxa"/>
                  <w:vMerge w:val="continue"/>
                  <w:vAlign w:val="center"/>
                </w:tcPr>
                <w:p>
                  <w:pPr>
                    <w:jc w:val="center"/>
                    <w:rPr>
                      <w:rFonts w:hint="eastAsia"/>
                      <w:b w:val="0"/>
                      <w:bCs w:val="0"/>
                      <w:color w:val="auto"/>
                      <w:sz w:val="21"/>
                      <w:szCs w:val="21"/>
                      <w:vertAlign w:val="baseline"/>
                      <w:lang w:val="en-US" w:eastAsia="zh-CN"/>
                    </w:rPr>
                  </w:pP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36" w:type="dxa"/>
                  <w:vMerge w:val="continue"/>
                  <w:vAlign w:val="center"/>
                </w:tcPr>
                <w:p>
                  <w:pPr>
                    <w:jc w:val="center"/>
                    <w:rPr>
                      <w:rFonts w:hint="eastAsia"/>
                      <w:b w:val="0"/>
                      <w:bCs w:val="0"/>
                      <w:color w:val="auto"/>
                      <w:sz w:val="21"/>
                      <w:szCs w:val="21"/>
                      <w:vertAlign w:val="baseline"/>
                      <w:lang w:val="en-US" w:eastAsia="zh-CN"/>
                    </w:rPr>
                  </w:pPr>
                </w:p>
              </w:tc>
              <w:tc>
                <w:tcPr>
                  <w:tcW w:w="869"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0.46</w:t>
                  </w: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79" w:type="dxa"/>
                  <w:vMerge w:val="continue"/>
                  <w:vAlign w:val="center"/>
                </w:tcPr>
                <w:p>
                  <w:pPr>
                    <w:jc w:val="center"/>
                    <w:rPr>
                      <w:rFonts w:hint="eastAsia"/>
                      <w:b w:val="0"/>
                      <w:bCs w:val="0"/>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7" w:type="dxa"/>
                  <w:vMerge w:val="continue"/>
                  <w:vAlign w:val="center"/>
                </w:tcPr>
                <w:p>
                  <w:pPr>
                    <w:jc w:val="center"/>
                    <w:rPr>
                      <w:b w:val="0"/>
                      <w:bCs w:val="0"/>
                      <w:color w:val="auto"/>
                      <w:sz w:val="21"/>
                      <w:szCs w:val="21"/>
                      <w:vertAlign w:val="baseline"/>
                    </w:rPr>
                  </w:pPr>
                </w:p>
              </w:tc>
              <w:tc>
                <w:tcPr>
                  <w:tcW w:w="900" w:type="dxa"/>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非甲烷总烃</w:t>
                  </w:r>
                </w:p>
              </w:tc>
              <w:tc>
                <w:tcPr>
                  <w:tcW w:w="695" w:type="dxa"/>
                  <w:vMerge w:val="continue"/>
                  <w:vAlign w:val="center"/>
                </w:tcPr>
                <w:p>
                  <w:pPr>
                    <w:jc w:val="center"/>
                    <w:rPr>
                      <w:b w:val="0"/>
                      <w:bCs w:val="0"/>
                      <w:color w:val="auto"/>
                      <w:sz w:val="21"/>
                      <w:szCs w:val="21"/>
                      <w:vertAlign w:val="baseline"/>
                    </w:rPr>
                  </w:pPr>
                </w:p>
              </w:tc>
              <w:tc>
                <w:tcPr>
                  <w:tcW w:w="682" w:type="dxa"/>
                  <w:vMerge w:val="continue"/>
                  <w:vAlign w:val="center"/>
                </w:tcPr>
                <w:p>
                  <w:pPr>
                    <w:jc w:val="center"/>
                    <w:rPr>
                      <w:b w:val="0"/>
                      <w:bCs w:val="0"/>
                      <w:color w:val="auto"/>
                      <w:sz w:val="21"/>
                      <w:szCs w:val="21"/>
                      <w:vertAlign w:val="baseline"/>
                    </w:rPr>
                  </w:pPr>
                </w:p>
              </w:tc>
              <w:tc>
                <w:tcPr>
                  <w:tcW w:w="801" w:type="dxa"/>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17.82</w:t>
                  </w:r>
                </w:p>
              </w:tc>
              <w:tc>
                <w:tcPr>
                  <w:tcW w:w="1337" w:type="dxa"/>
                  <w:vMerge w:val="continue"/>
                  <w:vAlign w:val="center"/>
                </w:tcPr>
                <w:p>
                  <w:pPr>
                    <w:jc w:val="center"/>
                    <w:rPr>
                      <w:b w:val="0"/>
                      <w:bCs w:val="0"/>
                      <w:color w:val="auto"/>
                      <w:sz w:val="21"/>
                      <w:szCs w:val="21"/>
                      <w:vertAlign w:val="baseline"/>
                    </w:rPr>
                  </w:pPr>
                </w:p>
              </w:tc>
              <w:tc>
                <w:tcPr>
                  <w:tcW w:w="2662" w:type="dxa"/>
                  <w:vMerge w:val="continue"/>
                  <w:vAlign w:val="center"/>
                </w:tcPr>
                <w:p>
                  <w:pPr>
                    <w:jc w:val="center"/>
                    <w:rPr>
                      <w:b w:val="0"/>
                      <w:bCs w:val="0"/>
                      <w:color w:val="auto"/>
                      <w:sz w:val="21"/>
                      <w:szCs w:val="21"/>
                      <w:vertAlign w:val="baseline"/>
                    </w:rPr>
                  </w:pPr>
                </w:p>
              </w:tc>
              <w:tc>
                <w:tcPr>
                  <w:tcW w:w="1064" w:type="dxa"/>
                  <w:vMerge w:val="continue"/>
                  <w:vAlign w:val="center"/>
                </w:tcPr>
                <w:p>
                  <w:pPr>
                    <w:jc w:val="center"/>
                    <w:rPr>
                      <w:b w:val="0"/>
                      <w:bCs w:val="0"/>
                      <w:color w:val="auto"/>
                      <w:sz w:val="21"/>
                      <w:szCs w:val="21"/>
                      <w:vertAlign w:val="baseline"/>
                    </w:rPr>
                  </w:pPr>
                </w:p>
              </w:tc>
              <w:tc>
                <w:tcPr>
                  <w:tcW w:w="736" w:type="dxa"/>
                  <w:vMerge w:val="continue"/>
                  <w:vAlign w:val="center"/>
                </w:tcPr>
                <w:p>
                  <w:pPr>
                    <w:jc w:val="center"/>
                    <w:rPr>
                      <w:b w:val="0"/>
                      <w:bCs w:val="0"/>
                      <w:color w:val="auto"/>
                      <w:sz w:val="21"/>
                      <w:szCs w:val="21"/>
                      <w:vertAlign w:val="baseline"/>
                    </w:rPr>
                  </w:pPr>
                </w:p>
              </w:tc>
              <w:tc>
                <w:tcPr>
                  <w:tcW w:w="869" w:type="dxa"/>
                  <w:vAlign w:val="center"/>
                </w:tcPr>
                <w:p>
                  <w:pPr>
                    <w:jc w:val="center"/>
                    <w:rPr>
                      <w:b w:val="0"/>
                      <w:bCs w:val="0"/>
                      <w:color w:val="auto"/>
                      <w:sz w:val="21"/>
                      <w:szCs w:val="21"/>
                      <w:vertAlign w:val="baseline"/>
                    </w:rPr>
                  </w:pPr>
                  <w:r>
                    <w:rPr>
                      <w:rFonts w:hint="eastAsia"/>
                      <w:color w:val="auto"/>
                      <w:sz w:val="21"/>
                      <w:szCs w:val="21"/>
                    </w:rPr>
                    <w:t>0</w:t>
                  </w:r>
                  <w:r>
                    <w:rPr>
                      <w:color w:val="auto"/>
                      <w:sz w:val="21"/>
                      <w:szCs w:val="21"/>
                    </w:rPr>
                    <w:t>.</w:t>
                  </w:r>
                  <w:r>
                    <w:rPr>
                      <w:rFonts w:hint="eastAsia"/>
                      <w:color w:val="auto"/>
                      <w:sz w:val="21"/>
                      <w:szCs w:val="21"/>
                      <w:lang w:val="en-US" w:eastAsia="zh-CN"/>
                    </w:rPr>
                    <w:t>177</w:t>
                  </w:r>
                </w:p>
              </w:tc>
              <w:tc>
                <w:tcPr>
                  <w:tcW w:w="1064" w:type="dxa"/>
                  <w:vMerge w:val="continue"/>
                  <w:vAlign w:val="center"/>
                </w:tcPr>
                <w:p>
                  <w:pPr>
                    <w:jc w:val="center"/>
                    <w:rPr>
                      <w:b w:val="0"/>
                      <w:bCs w:val="0"/>
                      <w:color w:val="auto"/>
                      <w:sz w:val="21"/>
                      <w:szCs w:val="21"/>
                      <w:vertAlign w:val="baseline"/>
                    </w:rPr>
                  </w:pPr>
                </w:p>
              </w:tc>
              <w:tc>
                <w:tcPr>
                  <w:tcW w:w="779" w:type="dxa"/>
                  <w:vMerge w:val="continue"/>
                  <w:vAlign w:val="center"/>
                </w:tcPr>
                <w:p>
                  <w:pPr>
                    <w:jc w:val="center"/>
                    <w:rPr>
                      <w:b w:val="0"/>
                      <w:bCs w:val="0"/>
                      <w:color w:val="auto"/>
                      <w:sz w:val="21"/>
                      <w:szCs w:val="21"/>
                      <w:vertAlign w:val="baseli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07" w:type="dxa"/>
                  <w:vMerge w:val="restart"/>
                  <w:vAlign w:val="center"/>
                </w:tcPr>
                <w:p>
                  <w:pPr>
                    <w:jc w:val="center"/>
                    <w:rPr>
                      <w:b w:val="0"/>
                      <w:bCs w:val="0"/>
                      <w:color w:val="auto"/>
                      <w:sz w:val="21"/>
                      <w:szCs w:val="21"/>
                      <w:vertAlign w:val="baseline"/>
                    </w:rPr>
                  </w:pPr>
                  <w:r>
                    <w:rPr>
                      <w:rFonts w:hint="eastAsia" w:cs="Times New Roman"/>
                      <w:color w:val="auto"/>
                      <w:kern w:val="2"/>
                      <w:sz w:val="21"/>
                      <w:szCs w:val="21"/>
                      <w:highlight w:val="none"/>
                      <w:lang w:val="en-US" w:eastAsia="zh-CN" w:bidi="ar-SA"/>
                    </w:rPr>
                    <w:t>单晶硅片串焊机、人工补焊机</w:t>
                  </w:r>
                </w:p>
              </w:tc>
              <w:tc>
                <w:tcPr>
                  <w:tcW w:w="900"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颗粒物</w:t>
                  </w:r>
                </w:p>
              </w:tc>
              <w:tc>
                <w:tcPr>
                  <w:tcW w:w="695" w:type="dxa"/>
                  <w:vMerge w:val="restart"/>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无组织</w:t>
                  </w:r>
                </w:p>
              </w:tc>
              <w:tc>
                <w:tcPr>
                  <w:tcW w:w="682" w:type="dxa"/>
                  <w:vMerge w:val="restart"/>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w:t>
                  </w:r>
                </w:p>
              </w:tc>
              <w:tc>
                <w:tcPr>
                  <w:tcW w:w="801"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2.41</w:t>
                  </w:r>
                </w:p>
              </w:tc>
              <w:tc>
                <w:tcPr>
                  <w:tcW w:w="1337"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移动式焊烟净化器</w:t>
                  </w:r>
                </w:p>
              </w:tc>
              <w:tc>
                <w:tcPr>
                  <w:tcW w:w="2662"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集气效率60%；去除效率70%</w:t>
                  </w:r>
                </w:p>
              </w:tc>
              <w:tc>
                <w:tcPr>
                  <w:tcW w:w="1064" w:type="dxa"/>
                  <w:vMerge w:val="restart"/>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w:t>
                  </w:r>
                </w:p>
              </w:tc>
              <w:tc>
                <w:tcPr>
                  <w:tcW w:w="736" w:type="dxa"/>
                  <w:vMerge w:val="restart"/>
                  <w:vAlign w:val="center"/>
                </w:tcPr>
                <w:p>
                  <w:pPr>
                    <w:jc w:val="center"/>
                    <w:rPr>
                      <w:b w:val="0"/>
                      <w:bCs w:val="0"/>
                      <w:color w:val="auto"/>
                      <w:sz w:val="21"/>
                      <w:szCs w:val="21"/>
                      <w:vertAlign w:val="baseline"/>
                    </w:rPr>
                  </w:pPr>
                  <w:r>
                    <w:rPr>
                      <w:rFonts w:hint="eastAsia"/>
                      <w:b w:val="0"/>
                      <w:bCs w:val="0"/>
                      <w:color w:val="auto"/>
                      <w:sz w:val="21"/>
                      <w:szCs w:val="21"/>
                      <w:vertAlign w:val="baseline"/>
                      <w:lang w:val="en-US" w:eastAsia="zh-CN"/>
                    </w:rPr>
                    <w:t>/</w:t>
                  </w:r>
                </w:p>
              </w:tc>
              <w:tc>
                <w:tcPr>
                  <w:tcW w:w="869" w:type="dxa"/>
                  <w:vAlign w:val="center"/>
                </w:tcPr>
                <w:p>
                  <w:pPr>
                    <w:jc w:val="center"/>
                    <w:rPr>
                      <w:rFonts w:hint="default"/>
                      <w:color w:val="auto"/>
                      <w:sz w:val="21"/>
                      <w:szCs w:val="21"/>
                      <w:lang w:val="en-US"/>
                    </w:rPr>
                  </w:pPr>
                  <w:r>
                    <w:rPr>
                      <w:rFonts w:hint="eastAsia"/>
                      <w:b w:val="0"/>
                      <w:bCs w:val="0"/>
                      <w:color w:val="auto"/>
                      <w:sz w:val="21"/>
                      <w:szCs w:val="21"/>
                      <w:vertAlign w:val="baseline"/>
                      <w:lang w:val="en-US" w:eastAsia="zh-CN"/>
                    </w:rPr>
                    <w:t>1.40</w:t>
                  </w:r>
                </w:p>
              </w:tc>
              <w:tc>
                <w:tcPr>
                  <w:tcW w:w="1064" w:type="dxa"/>
                  <w:vMerge w:val="restart"/>
                  <w:vAlign w:val="center"/>
                </w:tcPr>
                <w:p>
                  <w:pPr>
                    <w:jc w:val="center"/>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779" w:type="dxa"/>
                  <w:vMerge w:val="restart"/>
                  <w:vAlign w:val="center"/>
                </w:tcPr>
                <w:p>
                  <w:pPr>
                    <w:jc w:val="center"/>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07" w:type="dxa"/>
                  <w:vMerge w:val="continue"/>
                  <w:vAlign w:val="center"/>
                </w:tcPr>
                <w:p>
                  <w:pPr>
                    <w:jc w:val="center"/>
                    <w:rPr>
                      <w:rFonts w:hint="eastAsia" w:cs="Times New Roman"/>
                      <w:color w:val="auto"/>
                      <w:kern w:val="2"/>
                      <w:sz w:val="21"/>
                      <w:szCs w:val="21"/>
                      <w:highlight w:val="none"/>
                      <w:lang w:val="en-US" w:eastAsia="zh-CN" w:bidi="ar-SA"/>
                    </w:rPr>
                  </w:pPr>
                </w:p>
              </w:tc>
              <w:tc>
                <w:tcPr>
                  <w:tcW w:w="900"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锡及其化合物</w:t>
                  </w:r>
                </w:p>
              </w:tc>
              <w:tc>
                <w:tcPr>
                  <w:tcW w:w="695" w:type="dxa"/>
                  <w:vMerge w:val="continue"/>
                  <w:vAlign w:val="center"/>
                </w:tcPr>
                <w:p>
                  <w:pPr>
                    <w:jc w:val="center"/>
                    <w:rPr>
                      <w:rFonts w:hint="eastAsia"/>
                      <w:b w:val="0"/>
                      <w:bCs w:val="0"/>
                      <w:color w:val="auto"/>
                      <w:sz w:val="21"/>
                      <w:szCs w:val="21"/>
                      <w:vertAlign w:val="baseline"/>
                      <w:lang w:val="en-US" w:eastAsia="zh-CN"/>
                    </w:rPr>
                  </w:pPr>
                </w:p>
              </w:tc>
              <w:tc>
                <w:tcPr>
                  <w:tcW w:w="682" w:type="dxa"/>
                  <w:vMerge w:val="continue"/>
                  <w:vAlign w:val="center"/>
                </w:tcPr>
                <w:p>
                  <w:pPr>
                    <w:jc w:val="center"/>
                    <w:rPr>
                      <w:rFonts w:hint="eastAsia"/>
                      <w:b w:val="0"/>
                      <w:bCs w:val="0"/>
                      <w:color w:val="auto"/>
                      <w:sz w:val="21"/>
                      <w:szCs w:val="21"/>
                      <w:vertAlign w:val="baseline"/>
                      <w:lang w:val="en-US" w:eastAsia="zh-CN"/>
                    </w:rPr>
                  </w:pPr>
                </w:p>
              </w:tc>
              <w:tc>
                <w:tcPr>
                  <w:tcW w:w="801"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2.32</w:t>
                  </w:r>
                </w:p>
              </w:tc>
              <w:tc>
                <w:tcPr>
                  <w:tcW w:w="1337" w:type="dxa"/>
                  <w:vMerge w:val="continue"/>
                  <w:vAlign w:val="center"/>
                </w:tcPr>
                <w:p>
                  <w:pPr>
                    <w:jc w:val="center"/>
                    <w:rPr>
                      <w:rFonts w:hint="eastAsia"/>
                      <w:b w:val="0"/>
                      <w:bCs w:val="0"/>
                      <w:color w:val="auto"/>
                      <w:sz w:val="21"/>
                      <w:szCs w:val="21"/>
                      <w:vertAlign w:val="baseline"/>
                      <w:lang w:val="en-US" w:eastAsia="zh-CN"/>
                    </w:rPr>
                  </w:pPr>
                </w:p>
              </w:tc>
              <w:tc>
                <w:tcPr>
                  <w:tcW w:w="2662" w:type="dxa"/>
                  <w:vMerge w:val="continue"/>
                  <w:vAlign w:val="center"/>
                </w:tcPr>
                <w:p>
                  <w:pPr>
                    <w:jc w:val="center"/>
                    <w:rPr>
                      <w:rFonts w:hint="eastAsia"/>
                      <w:b w:val="0"/>
                      <w:bCs w:val="0"/>
                      <w:color w:val="auto"/>
                      <w:sz w:val="21"/>
                      <w:szCs w:val="21"/>
                      <w:vertAlign w:val="baseline"/>
                      <w:lang w:val="en-US" w:eastAsia="zh-CN"/>
                    </w:rPr>
                  </w:pP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36" w:type="dxa"/>
                  <w:vMerge w:val="continue"/>
                  <w:vAlign w:val="center"/>
                </w:tcPr>
                <w:p>
                  <w:pPr>
                    <w:jc w:val="center"/>
                    <w:rPr>
                      <w:rFonts w:hint="eastAsia"/>
                      <w:b w:val="0"/>
                      <w:bCs w:val="0"/>
                      <w:color w:val="auto"/>
                      <w:sz w:val="21"/>
                      <w:szCs w:val="21"/>
                      <w:vertAlign w:val="baseline"/>
                      <w:lang w:val="en-US" w:eastAsia="zh-CN"/>
                    </w:rPr>
                  </w:pPr>
                </w:p>
              </w:tc>
              <w:tc>
                <w:tcPr>
                  <w:tcW w:w="869"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1.35</w:t>
                  </w: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79" w:type="dxa"/>
                  <w:vMerge w:val="continue"/>
                  <w:vAlign w:val="center"/>
                </w:tcPr>
                <w:p>
                  <w:pPr>
                    <w:jc w:val="center"/>
                    <w:rPr>
                      <w:rFonts w:hint="eastAsia"/>
                      <w:b w:val="0"/>
                      <w:bCs w:val="0"/>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07" w:type="dxa"/>
                  <w:vMerge w:val="continue"/>
                  <w:vAlign w:val="center"/>
                </w:tcPr>
                <w:p>
                  <w:pPr>
                    <w:jc w:val="center"/>
                    <w:rPr>
                      <w:color w:val="auto"/>
                    </w:rPr>
                  </w:pPr>
                </w:p>
              </w:tc>
              <w:tc>
                <w:tcPr>
                  <w:tcW w:w="900" w:type="dxa"/>
                  <w:vAlign w:val="center"/>
                </w:tcPr>
                <w:p>
                  <w:pPr>
                    <w:jc w:val="center"/>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非甲烷总烃</w:t>
                  </w:r>
                </w:p>
              </w:tc>
              <w:tc>
                <w:tcPr>
                  <w:tcW w:w="695" w:type="dxa"/>
                  <w:vMerge w:val="continue"/>
                  <w:vAlign w:val="center"/>
                </w:tcPr>
                <w:p>
                  <w:pPr>
                    <w:jc w:val="center"/>
                    <w:rPr>
                      <w:rFonts w:hint="eastAsia"/>
                      <w:b w:val="0"/>
                      <w:bCs w:val="0"/>
                      <w:color w:val="auto"/>
                      <w:sz w:val="21"/>
                      <w:szCs w:val="21"/>
                      <w:vertAlign w:val="baseline"/>
                      <w:lang w:val="en-US" w:eastAsia="zh-CN"/>
                    </w:rPr>
                  </w:pPr>
                </w:p>
              </w:tc>
              <w:tc>
                <w:tcPr>
                  <w:tcW w:w="682" w:type="dxa"/>
                  <w:vMerge w:val="continue"/>
                  <w:vAlign w:val="center"/>
                </w:tcPr>
                <w:p>
                  <w:pPr>
                    <w:jc w:val="center"/>
                    <w:rPr>
                      <w:rFonts w:hint="eastAsia"/>
                      <w:b w:val="0"/>
                      <w:bCs w:val="0"/>
                      <w:color w:val="auto"/>
                      <w:sz w:val="21"/>
                      <w:szCs w:val="21"/>
                      <w:vertAlign w:val="baseline"/>
                      <w:lang w:val="en-US" w:eastAsia="zh-CN"/>
                    </w:rPr>
                  </w:pPr>
                </w:p>
              </w:tc>
              <w:tc>
                <w:tcPr>
                  <w:tcW w:w="801"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0.18</w:t>
                  </w:r>
                </w:p>
              </w:tc>
              <w:tc>
                <w:tcPr>
                  <w:tcW w:w="1337" w:type="dxa"/>
                  <w:vMerge w:val="continue"/>
                  <w:vAlign w:val="center"/>
                </w:tcPr>
                <w:p>
                  <w:pPr>
                    <w:jc w:val="center"/>
                    <w:rPr>
                      <w:rFonts w:hint="eastAsia"/>
                      <w:b w:val="0"/>
                      <w:bCs w:val="0"/>
                      <w:color w:val="auto"/>
                      <w:sz w:val="21"/>
                      <w:szCs w:val="21"/>
                      <w:vertAlign w:val="baseline"/>
                      <w:lang w:val="en-US" w:eastAsia="zh-CN"/>
                    </w:rPr>
                  </w:pPr>
                </w:p>
              </w:tc>
              <w:tc>
                <w:tcPr>
                  <w:tcW w:w="2662" w:type="dxa"/>
                  <w:vMerge w:val="continue"/>
                  <w:vAlign w:val="center"/>
                </w:tcPr>
                <w:p>
                  <w:pPr>
                    <w:jc w:val="center"/>
                    <w:rPr>
                      <w:rFonts w:hint="eastAsia"/>
                      <w:b w:val="0"/>
                      <w:bCs w:val="0"/>
                      <w:color w:val="auto"/>
                      <w:sz w:val="21"/>
                      <w:szCs w:val="21"/>
                      <w:vertAlign w:val="baseline"/>
                      <w:lang w:val="en-US" w:eastAsia="zh-CN"/>
                    </w:rPr>
                  </w:pP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36" w:type="dxa"/>
                  <w:vMerge w:val="continue"/>
                  <w:vAlign w:val="center"/>
                </w:tcPr>
                <w:p>
                  <w:pPr>
                    <w:jc w:val="center"/>
                    <w:rPr>
                      <w:rFonts w:hint="eastAsia"/>
                      <w:b w:val="0"/>
                      <w:bCs w:val="0"/>
                      <w:color w:val="auto"/>
                      <w:sz w:val="21"/>
                      <w:szCs w:val="21"/>
                      <w:vertAlign w:val="baseline"/>
                      <w:lang w:val="en-US" w:eastAsia="zh-CN"/>
                    </w:rPr>
                  </w:pPr>
                </w:p>
              </w:tc>
              <w:tc>
                <w:tcPr>
                  <w:tcW w:w="869" w:type="dxa"/>
                  <w:vAlign w:val="center"/>
                </w:tcPr>
                <w:p>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0.1044</w:t>
                  </w:r>
                </w:p>
              </w:tc>
              <w:tc>
                <w:tcPr>
                  <w:tcW w:w="1064" w:type="dxa"/>
                  <w:vMerge w:val="continue"/>
                  <w:vAlign w:val="center"/>
                </w:tcPr>
                <w:p>
                  <w:pPr>
                    <w:jc w:val="center"/>
                    <w:rPr>
                      <w:rFonts w:hint="eastAsia"/>
                      <w:b w:val="0"/>
                      <w:bCs w:val="0"/>
                      <w:color w:val="auto"/>
                      <w:sz w:val="21"/>
                      <w:szCs w:val="21"/>
                      <w:vertAlign w:val="baseline"/>
                      <w:lang w:val="en-US" w:eastAsia="zh-CN"/>
                    </w:rPr>
                  </w:pPr>
                </w:p>
              </w:tc>
              <w:tc>
                <w:tcPr>
                  <w:tcW w:w="779" w:type="dxa"/>
                  <w:vMerge w:val="continue"/>
                  <w:vAlign w:val="center"/>
                </w:tcPr>
                <w:p>
                  <w:pPr>
                    <w:jc w:val="center"/>
                    <w:rPr>
                      <w:rFonts w:hint="eastAsia"/>
                      <w:b w:val="0"/>
                      <w:bCs w:val="0"/>
                      <w:color w:val="auto"/>
                      <w:sz w:val="21"/>
                      <w:szCs w:val="21"/>
                      <w:vertAlign w:val="baseline"/>
                      <w:lang w:val="en-US" w:eastAsia="zh-CN"/>
                    </w:rPr>
                  </w:pPr>
                </w:p>
              </w:tc>
            </w:tr>
          </w:tbl>
          <w:p>
            <w:pPr>
              <w:keepNext/>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eastAsia="宋体"/>
                <w:color w:val="auto"/>
                <w:sz w:val="24"/>
                <w:lang w:val="en-US" w:eastAsia="zh-CN"/>
              </w:rPr>
            </w:pPr>
            <w:r>
              <w:rPr>
                <w:rFonts w:hint="eastAsia"/>
                <w:b/>
                <w:bCs/>
                <w:color w:val="auto"/>
                <w:sz w:val="18"/>
                <w:szCs w:val="18"/>
              </w:rPr>
              <w:t>备注：</w:t>
            </w:r>
            <w:r>
              <w:rPr>
                <w:rFonts w:hint="eastAsia"/>
                <w:b/>
                <w:bCs/>
                <w:color w:val="auto"/>
                <w:sz w:val="18"/>
                <w:szCs w:val="18"/>
                <w:lang w:val="en-US" w:eastAsia="zh-CN"/>
              </w:rPr>
              <w:t>本项目1层和4层生产线及设备设计规格及型号均相同，每层废气经相同规格的废气处理设备处理后引至屋外合并一根排气筒排放，因此废气的产生量及排放量按照2条生产线总和计算，在每层废气处理设施前后分别设置检测孔。</w:t>
            </w:r>
          </w:p>
        </w:tc>
      </w:tr>
    </w:tbl>
    <w:p>
      <w:pPr>
        <w:adjustRightInd w:val="0"/>
        <w:snapToGrid w:val="0"/>
        <w:jc w:val="center"/>
        <w:rPr>
          <w:b/>
          <w:bCs/>
          <w:color w:val="auto"/>
          <w:sz w:val="24"/>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0" w:num="1"/>
          <w:rtlGutter w:val="0"/>
          <w:docGrid w:linePitch="312" w:charSpace="0"/>
        </w:sectPr>
      </w:pP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1"/>
        <w:gridCol w:w="85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391" w:type="dxa"/>
            <w:tcBorders>
              <w:left w:val="single" w:color="auto" w:sz="4" w:space="0"/>
            </w:tcBorders>
            <w:tcMar>
              <w:left w:w="28" w:type="dxa"/>
              <w:right w:w="28" w:type="dxa"/>
            </w:tcMar>
            <w:vAlign w:val="center"/>
          </w:tcPr>
          <w:p>
            <w:pPr>
              <w:adjustRightInd w:val="0"/>
              <w:snapToGrid w:val="0"/>
              <w:jc w:val="center"/>
              <w:rPr>
                <w:b/>
                <w:bCs/>
                <w:color w:val="auto"/>
                <w:sz w:val="24"/>
              </w:rPr>
            </w:pPr>
            <w:r>
              <w:rPr>
                <w:b/>
                <w:bCs/>
                <w:color w:val="auto"/>
                <w:sz w:val="24"/>
              </w:rPr>
              <w:t>运营</w:t>
            </w:r>
          </w:p>
          <w:p>
            <w:pPr>
              <w:adjustRightInd w:val="0"/>
              <w:snapToGrid w:val="0"/>
              <w:jc w:val="center"/>
              <w:rPr>
                <w:b/>
                <w:bCs/>
                <w:color w:val="auto"/>
                <w:sz w:val="24"/>
              </w:rPr>
            </w:pPr>
            <w:r>
              <w:rPr>
                <w:b/>
                <w:bCs/>
                <w:color w:val="auto"/>
                <w:sz w:val="24"/>
              </w:rPr>
              <w:t>期环</w:t>
            </w:r>
          </w:p>
          <w:p>
            <w:pPr>
              <w:adjustRightInd w:val="0"/>
              <w:snapToGrid w:val="0"/>
              <w:jc w:val="center"/>
              <w:rPr>
                <w:b/>
                <w:bCs/>
                <w:color w:val="auto"/>
                <w:sz w:val="24"/>
              </w:rPr>
            </w:pPr>
            <w:r>
              <w:rPr>
                <w:b/>
                <w:bCs/>
                <w:color w:val="auto"/>
                <w:sz w:val="24"/>
              </w:rPr>
              <w:t>境影</w:t>
            </w:r>
          </w:p>
          <w:p>
            <w:pPr>
              <w:adjustRightInd w:val="0"/>
              <w:snapToGrid w:val="0"/>
              <w:jc w:val="center"/>
              <w:rPr>
                <w:b/>
                <w:bCs/>
                <w:color w:val="auto"/>
                <w:sz w:val="24"/>
              </w:rPr>
            </w:pPr>
            <w:r>
              <w:rPr>
                <w:b/>
                <w:bCs/>
                <w:color w:val="auto"/>
                <w:sz w:val="24"/>
              </w:rPr>
              <w:t>响和</w:t>
            </w:r>
          </w:p>
          <w:p>
            <w:pPr>
              <w:adjustRightInd w:val="0"/>
              <w:snapToGrid w:val="0"/>
              <w:jc w:val="center"/>
              <w:rPr>
                <w:b/>
                <w:bCs/>
                <w:color w:val="auto"/>
                <w:sz w:val="24"/>
              </w:rPr>
            </w:pPr>
            <w:r>
              <w:rPr>
                <w:b/>
                <w:bCs/>
                <w:color w:val="auto"/>
                <w:sz w:val="24"/>
              </w:rPr>
              <w:t>保护</w:t>
            </w:r>
          </w:p>
          <w:p>
            <w:pPr>
              <w:adjustRightInd w:val="0"/>
              <w:snapToGrid w:val="0"/>
              <w:jc w:val="center"/>
              <w:rPr>
                <w:b/>
                <w:bCs/>
                <w:color w:val="auto"/>
                <w:sz w:val="24"/>
              </w:rPr>
            </w:pPr>
            <w:r>
              <w:rPr>
                <w:b/>
                <w:bCs/>
                <w:color w:val="auto"/>
                <w:sz w:val="24"/>
              </w:rPr>
              <w:t>措施</w:t>
            </w:r>
          </w:p>
        </w:tc>
        <w:tc>
          <w:tcPr>
            <w:tcW w:w="8590" w:type="dxa"/>
            <w:vAlign w:val="center"/>
          </w:tcPr>
          <w:p>
            <w:pPr>
              <w:pStyle w:val="28"/>
              <w:spacing w:after="0"/>
              <w:ind w:left="0" w:leftChars="0" w:firstLine="0" w:firstLineChars="0"/>
              <w:jc w:val="center"/>
              <w:rPr>
                <w:b/>
                <w:bCs/>
                <w:color w:val="auto"/>
              </w:rPr>
            </w:pPr>
            <w:r>
              <w:rPr>
                <w:b/>
                <w:bCs/>
                <w:color w:val="auto"/>
              </w:rPr>
              <w:t>表4-2  项目废气排放口基本情况表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121"/>
              <w:gridCol w:w="837"/>
              <w:gridCol w:w="905"/>
              <w:gridCol w:w="1648"/>
              <w:gridCol w:w="1136"/>
              <w:gridCol w:w="749"/>
              <w:gridCol w:w="1022"/>
              <w:gridCol w:w="9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69" w:type="pct"/>
                  <w:tcBorders>
                    <w:tl2br w:val="nil"/>
                    <w:tr2bl w:val="nil"/>
                  </w:tcBorders>
                  <w:vAlign w:val="center"/>
                </w:tcPr>
                <w:p>
                  <w:pPr>
                    <w:snapToGrid w:val="0"/>
                    <w:spacing w:before="36" w:beforeLines="15" w:after="36" w:afterLines="15"/>
                    <w:jc w:val="center"/>
                    <w:rPr>
                      <w:color w:val="auto"/>
                      <w:szCs w:val="21"/>
                      <w:lang w:val="en-GB"/>
                    </w:rPr>
                  </w:pPr>
                  <w:r>
                    <w:rPr>
                      <w:color w:val="auto"/>
                      <w:szCs w:val="21"/>
                      <w:lang w:val="en-GB"/>
                    </w:rPr>
                    <w:t>名称</w:t>
                  </w:r>
                </w:p>
              </w:tc>
              <w:tc>
                <w:tcPr>
                  <w:tcW w:w="500" w:type="pct"/>
                  <w:tcBorders>
                    <w:tl2br w:val="nil"/>
                    <w:tr2bl w:val="nil"/>
                  </w:tcBorders>
                  <w:vAlign w:val="center"/>
                </w:tcPr>
                <w:p>
                  <w:pPr>
                    <w:snapToGrid w:val="0"/>
                    <w:spacing w:before="36" w:beforeLines="15" w:after="36" w:afterLines="15"/>
                    <w:jc w:val="center"/>
                    <w:rPr>
                      <w:color w:val="auto"/>
                      <w:szCs w:val="21"/>
                    </w:rPr>
                  </w:pPr>
                  <w:r>
                    <w:rPr>
                      <w:color w:val="auto"/>
                      <w:szCs w:val="21"/>
                    </w:rPr>
                    <w:t>编号</w:t>
                  </w:r>
                </w:p>
              </w:tc>
              <w:tc>
                <w:tcPr>
                  <w:tcW w:w="540" w:type="pct"/>
                  <w:tcBorders>
                    <w:tl2br w:val="nil"/>
                    <w:tr2bl w:val="nil"/>
                  </w:tcBorders>
                  <w:vAlign w:val="center"/>
                </w:tcPr>
                <w:p>
                  <w:pPr>
                    <w:snapToGrid w:val="0"/>
                    <w:spacing w:before="36" w:beforeLines="15" w:after="36" w:afterLines="15"/>
                    <w:jc w:val="center"/>
                    <w:rPr>
                      <w:color w:val="auto"/>
                      <w:szCs w:val="21"/>
                    </w:rPr>
                  </w:pPr>
                  <w:r>
                    <w:rPr>
                      <w:color w:val="auto"/>
                      <w:szCs w:val="21"/>
                    </w:rPr>
                    <w:t>类型</w:t>
                  </w:r>
                </w:p>
              </w:tc>
              <w:tc>
                <w:tcPr>
                  <w:tcW w:w="984" w:type="pct"/>
                  <w:tcBorders>
                    <w:tl2br w:val="nil"/>
                    <w:tr2bl w:val="nil"/>
                  </w:tcBorders>
                  <w:vAlign w:val="center"/>
                </w:tcPr>
                <w:p>
                  <w:pPr>
                    <w:snapToGrid w:val="0"/>
                    <w:spacing w:before="36" w:beforeLines="15" w:after="36" w:afterLines="15"/>
                    <w:jc w:val="center"/>
                    <w:rPr>
                      <w:color w:val="auto"/>
                      <w:szCs w:val="21"/>
                      <w:lang w:val="en-GB"/>
                    </w:rPr>
                  </w:pPr>
                  <w:r>
                    <w:rPr>
                      <w:color w:val="auto"/>
                      <w:szCs w:val="21"/>
                      <w:lang w:val="en-GB"/>
                    </w:rPr>
                    <w:t>排气筒底部中心坐标</w:t>
                  </w:r>
                </w:p>
              </w:tc>
              <w:tc>
                <w:tcPr>
                  <w:tcW w:w="678" w:type="pct"/>
                  <w:tcBorders>
                    <w:tl2br w:val="nil"/>
                    <w:tr2bl w:val="nil"/>
                  </w:tcBorders>
                  <w:vAlign w:val="center"/>
                </w:tcPr>
                <w:p>
                  <w:pPr>
                    <w:snapToGrid w:val="0"/>
                    <w:spacing w:before="36" w:beforeLines="15" w:after="36" w:afterLines="15"/>
                    <w:jc w:val="center"/>
                    <w:rPr>
                      <w:color w:val="auto"/>
                      <w:szCs w:val="21"/>
                      <w:lang w:val="en-GB"/>
                    </w:rPr>
                  </w:pPr>
                  <w:r>
                    <w:rPr>
                      <w:color w:val="auto"/>
                      <w:szCs w:val="21"/>
                      <w:lang w:val="en-GB"/>
                    </w:rPr>
                    <w:t>排气筒底部</w:t>
                  </w:r>
                  <w:r>
                    <w:rPr>
                      <w:rFonts w:hint="eastAsia"/>
                      <w:color w:val="auto"/>
                      <w:szCs w:val="21"/>
                      <w:lang w:val="en-GB" w:eastAsia="zh-CN"/>
                    </w:rPr>
                    <w:t>海拔</w:t>
                  </w:r>
                  <w:r>
                    <w:rPr>
                      <w:color w:val="auto"/>
                      <w:szCs w:val="21"/>
                      <w:lang w:val="en-GB"/>
                    </w:rPr>
                    <w:t>/m</w:t>
                  </w:r>
                </w:p>
              </w:tc>
              <w:tc>
                <w:tcPr>
                  <w:tcW w:w="447" w:type="pct"/>
                  <w:tcBorders>
                    <w:tl2br w:val="nil"/>
                    <w:tr2bl w:val="nil"/>
                  </w:tcBorders>
                  <w:vAlign w:val="center"/>
                </w:tcPr>
                <w:p>
                  <w:pPr>
                    <w:snapToGrid w:val="0"/>
                    <w:spacing w:before="36" w:beforeLines="15" w:after="36" w:afterLines="15"/>
                    <w:jc w:val="center"/>
                    <w:rPr>
                      <w:color w:val="auto"/>
                      <w:szCs w:val="21"/>
                      <w:lang w:val="en-GB"/>
                    </w:rPr>
                  </w:pPr>
                  <w:r>
                    <w:rPr>
                      <w:color w:val="auto"/>
                      <w:szCs w:val="21"/>
                      <w:lang w:val="en-GB"/>
                    </w:rPr>
                    <w:t>排气筒高度/m</w:t>
                  </w:r>
                </w:p>
              </w:tc>
              <w:tc>
                <w:tcPr>
                  <w:tcW w:w="610" w:type="pct"/>
                  <w:tcBorders>
                    <w:tl2br w:val="nil"/>
                    <w:tr2bl w:val="nil"/>
                  </w:tcBorders>
                  <w:vAlign w:val="center"/>
                </w:tcPr>
                <w:p>
                  <w:pPr>
                    <w:snapToGrid w:val="0"/>
                    <w:spacing w:before="36" w:beforeLines="15" w:after="36" w:afterLines="15"/>
                    <w:jc w:val="center"/>
                    <w:rPr>
                      <w:color w:val="auto"/>
                      <w:szCs w:val="21"/>
                      <w:highlight w:val="none"/>
                      <w:lang w:val="en-GB"/>
                    </w:rPr>
                  </w:pPr>
                  <w:r>
                    <w:rPr>
                      <w:color w:val="auto"/>
                      <w:szCs w:val="21"/>
                      <w:highlight w:val="none"/>
                      <w:lang w:val="en-GB"/>
                    </w:rPr>
                    <w:t>排气筒出口内径/m</w:t>
                  </w:r>
                </w:p>
              </w:tc>
              <w:tc>
                <w:tcPr>
                  <w:tcW w:w="567" w:type="pct"/>
                  <w:tcBorders>
                    <w:tl2br w:val="nil"/>
                    <w:tr2bl w:val="nil"/>
                  </w:tcBorders>
                  <w:vAlign w:val="center"/>
                </w:tcPr>
                <w:p>
                  <w:pPr>
                    <w:snapToGrid w:val="0"/>
                    <w:spacing w:before="36" w:beforeLines="15" w:after="36" w:afterLines="15"/>
                    <w:jc w:val="center"/>
                    <w:rPr>
                      <w:color w:val="auto"/>
                      <w:szCs w:val="21"/>
                      <w:lang w:val="en-GB"/>
                    </w:rPr>
                  </w:pPr>
                  <w:r>
                    <w:rPr>
                      <w:color w:val="auto"/>
                      <w:szCs w:val="21"/>
                      <w:lang w:val="en-GB"/>
                    </w:rPr>
                    <w:t>烟气温度</w:t>
                  </w:r>
                </w:p>
                <w:p>
                  <w:pPr>
                    <w:snapToGrid w:val="0"/>
                    <w:spacing w:before="36" w:beforeLines="15" w:after="36" w:afterLines="15"/>
                    <w:jc w:val="center"/>
                    <w:rPr>
                      <w:color w:val="auto"/>
                      <w:szCs w:val="21"/>
                      <w:lang w:val="en-GB"/>
                    </w:rPr>
                  </w:pPr>
                  <w:r>
                    <w:rPr>
                      <w:color w:val="auto"/>
                      <w:szCs w:val="21"/>
                      <w:lang w:val="en-GB"/>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669" w:type="pct"/>
                  <w:tcBorders>
                    <w:tl2br w:val="nil"/>
                    <w:tr2bl w:val="nil"/>
                  </w:tcBorders>
                  <w:vAlign w:val="center"/>
                </w:tcPr>
                <w:p>
                  <w:pPr>
                    <w:snapToGrid w:val="0"/>
                    <w:spacing w:before="36" w:beforeLines="15" w:after="36" w:afterLines="15"/>
                    <w:jc w:val="center"/>
                    <w:rPr>
                      <w:color w:val="auto"/>
                      <w:szCs w:val="21"/>
                    </w:rPr>
                  </w:pPr>
                  <w:r>
                    <w:rPr>
                      <w:bCs/>
                      <w:color w:val="auto"/>
                      <w:szCs w:val="21"/>
                    </w:rPr>
                    <w:t>排气筒</w:t>
                  </w:r>
                </w:p>
              </w:tc>
              <w:tc>
                <w:tcPr>
                  <w:tcW w:w="500" w:type="pct"/>
                  <w:tcBorders>
                    <w:tl2br w:val="nil"/>
                    <w:tr2bl w:val="nil"/>
                  </w:tcBorders>
                  <w:vAlign w:val="center"/>
                </w:tcPr>
                <w:p>
                  <w:pPr>
                    <w:snapToGrid w:val="0"/>
                    <w:spacing w:before="36" w:beforeLines="15" w:after="36" w:afterLines="15"/>
                    <w:jc w:val="center"/>
                    <w:rPr>
                      <w:color w:val="auto"/>
                      <w:szCs w:val="21"/>
                    </w:rPr>
                  </w:pPr>
                  <w:r>
                    <w:rPr>
                      <w:color w:val="auto"/>
                      <w:szCs w:val="21"/>
                    </w:rPr>
                    <w:t>DA001</w:t>
                  </w:r>
                </w:p>
              </w:tc>
              <w:tc>
                <w:tcPr>
                  <w:tcW w:w="540" w:type="pct"/>
                  <w:tcBorders>
                    <w:tl2br w:val="nil"/>
                    <w:tr2bl w:val="nil"/>
                  </w:tcBorders>
                  <w:vAlign w:val="center"/>
                </w:tcPr>
                <w:p>
                  <w:pPr>
                    <w:snapToGrid w:val="0"/>
                    <w:spacing w:before="36" w:beforeLines="15" w:after="36" w:afterLines="15"/>
                    <w:jc w:val="center"/>
                    <w:rPr>
                      <w:color w:val="auto"/>
                      <w:szCs w:val="21"/>
                    </w:rPr>
                  </w:pPr>
                  <w:r>
                    <w:rPr>
                      <w:color w:val="auto"/>
                      <w:szCs w:val="21"/>
                    </w:rPr>
                    <w:t>一般</w:t>
                  </w:r>
                </w:p>
                <w:p>
                  <w:pPr>
                    <w:snapToGrid w:val="0"/>
                    <w:spacing w:before="36" w:beforeLines="15" w:after="36" w:afterLines="15"/>
                    <w:jc w:val="center"/>
                    <w:rPr>
                      <w:color w:val="auto"/>
                      <w:szCs w:val="21"/>
                    </w:rPr>
                  </w:pPr>
                  <w:r>
                    <w:rPr>
                      <w:color w:val="auto"/>
                      <w:szCs w:val="21"/>
                    </w:rPr>
                    <w:t>排放口</w:t>
                  </w:r>
                </w:p>
              </w:tc>
              <w:tc>
                <w:tcPr>
                  <w:tcW w:w="984" w:type="pct"/>
                  <w:tcBorders>
                    <w:tl2br w:val="nil"/>
                    <w:tr2bl w:val="nil"/>
                  </w:tcBorders>
                  <w:vAlign w:val="center"/>
                </w:tcPr>
                <w:p>
                  <w:pPr>
                    <w:snapToGrid w:val="0"/>
                    <w:spacing w:before="36" w:beforeLines="15" w:after="36" w:afterLines="15"/>
                    <w:jc w:val="center"/>
                    <w:rPr>
                      <w:rFonts w:hint="default" w:ascii="Times New Roman" w:hAnsi="Times New Roman" w:cs="Times New Roman"/>
                      <w:color w:val="auto"/>
                      <w:szCs w:val="21"/>
                    </w:rPr>
                  </w:pPr>
                  <w:r>
                    <w:rPr>
                      <w:rFonts w:hint="default" w:ascii="Times New Roman" w:hAnsi="Times New Roman" w:cs="Times New Roman"/>
                      <w:color w:val="auto"/>
                      <w:szCs w:val="21"/>
                    </w:rPr>
                    <w:t>108°57'31.028"</w:t>
                  </w:r>
                </w:p>
                <w:p>
                  <w:pPr>
                    <w:snapToGrid w:val="0"/>
                    <w:spacing w:before="36" w:beforeLines="15" w:after="36" w:afterLines="15"/>
                    <w:jc w:val="center"/>
                    <w:rPr>
                      <w:color w:val="auto"/>
                      <w:szCs w:val="21"/>
                    </w:rPr>
                  </w:pPr>
                  <w:r>
                    <w:rPr>
                      <w:rFonts w:hint="default" w:ascii="Times New Roman" w:hAnsi="Times New Roman" w:cs="Times New Roman"/>
                      <w:color w:val="auto"/>
                      <w:szCs w:val="21"/>
                    </w:rPr>
                    <w:t>34°32'08.742"</w:t>
                  </w:r>
                </w:p>
              </w:tc>
              <w:tc>
                <w:tcPr>
                  <w:tcW w:w="678" w:type="pct"/>
                  <w:tcBorders>
                    <w:tl2br w:val="nil"/>
                    <w:tr2bl w:val="nil"/>
                  </w:tcBorders>
                  <w:vAlign w:val="center"/>
                </w:tcPr>
                <w:p>
                  <w:pPr>
                    <w:snapToGrid w:val="0"/>
                    <w:spacing w:before="36" w:beforeLines="15" w:after="36" w:afterLines="15"/>
                    <w:jc w:val="center"/>
                    <w:rPr>
                      <w:rFonts w:hint="default" w:eastAsia="宋体"/>
                      <w:color w:val="auto"/>
                      <w:szCs w:val="21"/>
                      <w:lang w:val="en-US" w:eastAsia="zh-CN"/>
                    </w:rPr>
                  </w:pPr>
                  <w:r>
                    <w:rPr>
                      <w:color w:val="auto"/>
                      <w:szCs w:val="21"/>
                    </w:rPr>
                    <w:t>4</w:t>
                  </w:r>
                  <w:r>
                    <w:rPr>
                      <w:rFonts w:hint="eastAsia"/>
                      <w:color w:val="auto"/>
                      <w:szCs w:val="21"/>
                      <w:lang w:val="en-US" w:eastAsia="zh-CN"/>
                    </w:rPr>
                    <w:t>02</w:t>
                  </w:r>
                </w:p>
              </w:tc>
              <w:tc>
                <w:tcPr>
                  <w:tcW w:w="447" w:type="pct"/>
                  <w:tcBorders>
                    <w:tl2br w:val="nil"/>
                    <w:tr2bl w:val="nil"/>
                  </w:tcBorders>
                  <w:vAlign w:val="center"/>
                </w:tcPr>
                <w:p>
                  <w:pPr>
                    <w:snapToGrid w:val="0"/>
                    <w:spacing w:before="36" w:beforeLines="15" w:after="36" w:afterLines="15"/>
                    <w:jc w:val="center"/>
                    <w:rPr>
                      <w:rFonts w:hint="default" w:eastAsia="宋体"/>
                      <w:color w:val="auto"/>
                      <w:szCs w:val="21"/>
                      <w:lang w:val="en-US" w:eastAsia="zh-CN"/>
                    </w:rPr>
                  </w:pPr>
                  <w:r>
                    <w:rPr>
                      <w:rFonts w:hint="eastAsia"/>
                      <w:color w:val="auto"/>
                      <w:szCs w:val="21"/>
                      <w:lang w:val="en-US" w:eastAsia="zh-CN"/>
                    </w:rPr>
                    <w:t>25</w:t>
                  </w:r>
                </w:p>
              </w:tc>
              <w:tc>
                <w:tcPr>
                  <w:tcW w:w="610" w:type="pct"/>
                  <w:tcBorders>
                    <w:tl2br w:val="nil"/>
                    <w:tr2bl w:val="nil"/>
                  </w:tcBorders>
                  <w:vAlign w:val="center"/>
                </w:tcPr>
                <w:p>
                  <w:pPr>
                    <w:snapToGrid w:val="0"/>
                    <w:spacing w:before="36" w:beforeLines="15" w:after="36" w:afterLines="15"/>
                    <w:jc w:val="center"/>
                    <w:rPr>
                      <w:rFonts w:hint="default" w:eastAsia="宋体"/>
                      <w:color w:val="auto"/>
                      <w:szCs w:val="21"/>
                      <w:highlight w:val="none"/>
                      <w:lang w:val="en-US" w:eastAsia="zh-CN"/>
                    </w:rPr>
                  </w:pPr>
                  <w:r>
                    <w:rPr>
                      <w:rFonts w:hint="eastAsia"/>
                      <w:color w:val="auto"/>
                      <w:szCs w:val="21"/>
                      <w:highlight w:val="none"/>
                      <w:lang w:val="en-US" w:eastAsia="zh-CN"/>
                    </w:rPr>
                    <w:t>0.3</w:t>
                  </w:r>
                </w:p>
              </w:tc>
              <w:tc>
                <w:tcPr>
                  <w:tcW w:w="567" w:type="pct"/>
                  <w:tcBorders>
                    <w:tl2br w:val="nil"/>
                    <w:tr2bl w:val="nil"/>
                  </w:tcBorders>
                  <w:vAlign w:val="center"/>
                </w:tcPr>
                <w:p>
                  <w:pPr>
                    <w:snapToGrid w:val="0"/>
                    <w:spacing w:before="36" w:beforeLines="15" w:after="36" w:afterLines="15"/>
                    <w:jc w:val="center"/>
                    <w:rPr>
                      <w:rFonts w:hint="default" w:eastAsia="宋体"/>
                      <w:color w:val="auto"/>
                      <w:szCs w:val="21"/>
                      <w:lang w:val="en-US" w:eastAsia="zh-CN"/>
                    </w:rPr>
                  </w:pPr>
                  <w:r>
                    <w:rPr>
                      <w:rFonts w:hint="eastAsia"/>
                      <w:color w:val="auto"/>
                      <w:szCs w:val="21"/>
                      <w:lang w:val="en-US" w:eastAsia="zh-CN"/>
                    </w:rPr>
                    <w:t>50</w:t>
                  </w:r>
                </w:p>
              </w:tc>
            </w:tr>
          </w:tbl>
          <w:p>
            <w:pPr>
              <w:adjustRightInd w:val="0"/>
              <w:snapToGrid w:val="0"/>
              <w:spacing w:before="120" w:beforeLines="50" w:line="360" w:lineRule="auto"/>
              <w:ind w:firstLine="482"/>
              <w:rPr>
                <w:b/>
                <w:bCs/>
                <w:color w:val="auto"/>
                <w:sz w:val="24"/>
              </w:rPr>
            </w:pPr>
            <w:r>
              <w:rPr>
                <w:rFonts w:hint="eastAsia"/>
                <w:b/>
                <w:bCs/>
                <w:color w:val="auto"/>
                <w:sz w:val="24"/>
                <w:lang w:eastAsia="zh-CN"/>
              </w:rPr>
              <w:t>（</w:t>
            </w:r>
            <w:r>
              <w:rPr>
                <w:rFonts w:hint="eastAsia"/>
                <w:b/>
                <w:bCs/>
                <w:color w:val="auto"/>
                <w:sz w:val="24"/>
                <w:lang w:val="en-US" w:eastAsia="zh-CN"/>
              </w:rPr>
              <w:t>2</w:t>
            </w:r>
            <w:r>
              <w:rPr>
                <w:rFonts w:hint="eastAsia"/>
                <w:b/>
                <w:bCs/>
                <w:color w:val="auto"/>
                <w:sz w:val="24"/>
                <w:lang w:eastAsia="zh-CN"/>
              </w:rPr>
              <w:t>）</w:t>
            </w:r>
            <w:r>
              <w:rPr>
                <w:rFonts w:hint="eastAsia"/>
                <w:b/>
                <w:bCs/>
                <w:color w:val="auto"/>
                <w:sz w:val="24"/>
                <w:lang w:val="en-US" w:eastAsia="zh-CN"/>
              </w:rPr>
              <w:t>有组织</w:t>
            </w:r>
            <w:r>
              <w:rPr>
                <w:b/>
                <w:bCs/>
                <w:color w:val="auto"/>
                <w:sz w:val="24"/>
              </w:rPr>
              <w:t>源强核算过程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①</w:t>
            </w:r>
            <w:r>
              <w:rPr>
                <w:rFonts w:hint="eastAsia" w:cs="Times New Roman"/>
                <w:color w:val="auto"/>
                <w:sz w:val="24"/>
                <w:szCs w:val="32"/>
                <w:lang w:val="en-US" w:eastAsia="zh-CN"/>
              </w:rPr>
              <w:t>回流焊</w:t>
            </w:r>
            <w:r>
              <w:rPr>
                <w:rFonts w:hint="default" w:ascii="Times New Roman" w:hAnsi="Times New Roman" w:eastAsia="宋体" w:cs="Times New Roman"/>
                <w:color w:val="auto"/>
                <w:sz w:val="24"/>
                <w:szCs w:val="32"/>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eastAsia" w:cs="Times New Roman"/>
                <w:color w:val="auto"/>
                <w:sz w:val="24"/>
                <w:szCs w:val="32"/>
                <w:lang w:val="en-US" w:eastAsia="zh-CN"/>
              </w:rPr>
              <w:t>本项目回流焊使用无铅焊锡膏约15kg/a，其中助焊膏含量约11.8%（主要为氢化松香、树脂、活化剂），银含量约3.0%、铜含量约0.5%，其余均为锡，回流焊的操作温度为135℃。本次环评按照助焊膏均挥发为非甲烷总烃计算，则非甲烷总烃产生量约为1.77kg/a；</w:t>
            </w:r>
            <w:r>
              <w:rPr>
                <w:rFonts w:hint="eastAsia"/>
                <w:color w:val="auto"/>
                <w:sz w:val="24"/>
                <w:szCs w:val="24"/>
              </w:rPr>
              <w:t>锡及其化合物主要是以颗粒的形式存在焊接烟尘中，</w:t>
            </w:r>
            <w:r>
              <w:rPr>
                <w:color w:val="auto"/>
                <w:sz w:val="24"/>
                <w:szCs w:val="24"/>
              </w:rPr>
              <w:t>产污系数参考</w:t>
            </w:r>
            <w:r>
              <w:rPr>
                <w:rFonts w:hint="eastAsia"/>
                <w:color w:val="auto"/>
                <w:sz w:val="24"/>
                <w:szCs w:val="32"/>
                <w:highlight w:val="none"/>
              </w:rPr>
              <w:t>《工业源产排污核算方法和系数手册》中“</w:t>
            </w:r>
            <w:r>
              <w:rPr>
                <w:rFonts w:hint="eastAsia"/>
                <w:color w:val="auto"/>
                <w:sz w:val="24"/>
                <w:szCs w:val="32"/>
                <w:highlight w:val="none"/>
                <w:lang w:val="en-US" w:eastAsia="zh-CN"/>
              </w:rPr>
              <w:t>220.38~40电子电器行业系数手册</w:t>
            </w:r>
            <w:r>
              <w:rPr>
                <w:rFonts w:hint="eastAsia"/>
                <w:color w:val="auto"/>
                <w:sz w:val="24"/>
                <w:szCs w:val="32"/>
                <w:highlight w:val="none"/>
              </w:rPr>
              <w:t>”，</w:t>
            </w:r>
            <w:r>
              <w:rPr>
                <w:rFonts w:hint="eastAsia"/>
                <w:color w:val="auto"/>
                <w:sz w:val="24"/>
                <w:szCs w:val="32"/>
                <w:highlight w:val="none"/>
                <w:lang w:val="en-US" w:eastAsia="zh-CN"/>
              </w:rPr>
              <w:t>焊接工段无铅焊料（回流焊）产生</w:t>
            </w:r>
            <w:r>
              <w:rPr>
                <w:rFonts w:hint="eastAsia"/>
                <w:color w:val="auto"/>
                <w:sz w:val="24"/>
                <w:szCs w:val="32"/>
                <w:highlight w:val="none"/>
              </w:rPr>
              <w:t>系数为</w:t>
            </w:r>
            <w:r>
              <w:rPr>
                <w:rFonts w:hint="eastAsia"/>
                <w:color w:val="auto"/>
                <w:sz w:val="24"/>
                <w:szCs w:val="32"/>
                <w:highlight w:val="none"/>
                <w:lang w:val="en-US" w:eastAsia="zh-CN"/>
              </w:rPr>
              <w:t>3.638×10</w:t>
            </w:r>
            <w:r>
              <w:rPr>
                <w:rFonts w:hint="eastAsia"/>
                <w:color w:val="auto"/>
                <w:sz w:val="24"/>
                <w:szCs w:val="32"/>
                <w:highlight w:val="none"/>
                <w:vertAlign w:val="superscript"/>
                <w:lang w:val="en-US" w:eastAsia="zh-CN"/>
              </w:rPr>
              <w:t>-1</w:t>
            </w:r>
            <w:r>
              <w:rPr>
                <w:rFonts w:hint="eastAsia"/>
                <w:color w:val="auto"/>
                <w:sz w:val="24"/>
                <w:szCs w:val="32"/>
                <w:highlight w:val="none"/>
                <w:lang w:val="en-US" w:eastAsia="zh-CN"/>
              </w:rPr>
              <w:t>克/千克-焊料</w:t>
            </w:r>
            <w:r>
              <w:rPr>
                <w:rFonts w:hint="eastAsia"/>
                <w:color w:val="auto"/>
                <w:sz w:val="24"/>
                <w:szCs w:val="32"/>
                <w:highlight w:val="none"/>
              </w:rPr>
              <w:t>，</w:t>
            </w:r>
            <w:r>
              <w:rPr>
                <w:rFonts w:hint="eastAsia"/>
                <w:color w:val="auto"/>
                <w:sz w:val="24"/>
                <w:szCs w:val="32"/>
                <w:highlight w:val="none"/>
                <w:lang w:val="en-US" w:eastAsia="zh-CN"/>
              </w:rPr>
              <w:t>工业废气量2.544×10</w:t>
            </w:r>
            <w:r>
              <w:rPr>
                <w:rFonts w:hint="eastAsia"/>
                <w:color w:val="auto"/>
                <w:sz w:val="24"/>
                <w:szCs w:val="32"/>
                <w:highlight w:val="none"/>
                <w:vertAlign w:val="superscript"/>
                <w:lang w:val="en-US" w:eastAsia="zh-CN"/>
              </w:rPr>
              <w:t>4</w:t>
            </w:r>
            <w:r>
              <w:rPr>
                <w:rFonts w:hint="eastAsia"/>
                <w:color w:val="auto"/>
                <w:sz w:val="24"/>
                <w:szCs w:val="32"/>
                <w:highlight w:val="none"/>
                <w:lang w:val="en-US" w:eastAsia="zh-CN"/>
              </w:rPr>
              <w:t>标立方/千件-产品，本项目产品20000m</w:t>
            </w:r>
            <w:r>
              <w:rPr>
                <w:rFonts w:hint="eastAsia"/>
                <w:color w:val="auto"/>
                <w:sz w:val="24"/>
                <w:szCs w:val="32"/>
                <w:highlight w:val="none"/>
                <w:vertAlign w:val="superscript"/>
                <w:lang w:val="en-US" w:eastAsia="zh-CN"/>
              </w:rPr>
              <w:t>2</w:t>
            </w:r>
            <w:r>
              <w:rPr>
                <w:rFonts w:hint="eastAsia"/>
                <w:color w:val="auto"/>
                <w:sz w:val="24"/>
                <w:szCs w:val="32"/>
                <w:highlight w:val="none"/>
                <w:lang w:val="en-US" w:eastAsia="zh-CN"/>
              </w:rPr>
              <w:t>（即20000件），经计算颗粒物产生量为5.457kg/a、废气量为50.88×10</w:t>
            </w:r>
            <w:r>
              <w:rPr>
                <w:rFonts w:hint="eastAsia"/>
                <w:color w:val="auto"/>
                <w:sz w:val="24"/>
                <w:szCs w:val="32"/>
                <w:highlight w:val="none"/>
                <w:vertAlign w:val="superscript"/>
                <w:lang w:val="en-US" w:eastAsia="zh-CN"/>
              </w:rPr>
              <w:t>4</w:t>
            </w:r>
            <w:r>
              <w:rPr>
                <w:rFonts w:hint="eastAsia"/>
                <w:color w:val="auto"/>
                <w:sz w:val="24"/>
                <w:szCs w:val="32"/>
                <w:highlight w:val="none"/>
                <w:lang w:val="en-US" w:eastAsia="zh-CN"/>
              </w:rPr>
              <w:t>Nm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/a（212</w:t>
            </w:r>
            <w:r>
              <w:rPr>
                <w:rFonts w:hint="eastAsia"/>
                <w:color w:val="auto"/>
                <w:sz w:val="24"/>
                <w:szCs w:val="32"/>
                <w:highlight w:val="none"/>
                <w:vertAlign w:val="baseline"/>
                <w:lang w:val="en-US" w:eastAsia="zh-CN"/>
              </w:rPr>
              <w:t>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/h</w:t>
            </w:r>
            <w:r>
              <w:rPr>
                <w:rFonts w:hint="eastAsia"/>
                <w:color w:val="auto"/>
                <w:sz w:val="24"/>
                <w:szCs w:val="32"/>
                <w:highlight w:val="none"/>
                <w:lang w:val="en-US" w:eastAsia="zh-CN"/>
              </w:rPr>
              <w:t>），焊锡膏中锡的含量为84.7%，因此锡及其化合物产生量为4.622kg/a。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rPr>
              <w:t>②</w:t>
            </w:r>
            <w:r>
              <w:rPr>
                <w:rFonts w:hint="eastAsia" w:cs="Times New Roman"/>
                <w:color w:val="auto"/>
                <w:sz w:val="24"/>
                <w:szCs w:val="32"/>
                <w:lang w:val="en-US" w:eastAsia="zh-CN"/>
              </w:rPr>
              <w:t>非高压热压夹层机废气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szCs w:val="32"/>
                <w:vertAlign w:val="baseline"/>
                <w:lang w:val="en-US" w:eastAsia="zh-CN"/>
              </w:rPr>
            </w:pPr>
            <w:r>
              <w:rPr>
                <w:rFonts w:hint="eastAsia" w:cs="Times New Roman"/>
                <w:color w:val="auto"/>
                <w:sz w:val="24"/>
                <w:szCs w:val="32"/>
                <w:lang w:val="en-US" w:eastAsia="zh-CN"/>
              </w:rPr>
              <w:t>本项目所有特种玻璃均需要在非高压热压夹层机内抽真空加热集成，加热会使PVB膜熔融，会产生非甲烷总烃随抽真空过程一起排出，PVB膜年使用量约6000m</w:t>
            </w:r>
            <w:r>
              <w:rPr>
                <w:rFonts w:hint="eastAsia" w:cs="Times New Roman"/>
                <w:color w:val="auto"/>
                <w:sz w:val="24"/>
                <w:szCs w:val="32"/>
                <w:vertAlign w:val="superscript"/>
                <w:lang w:val="en-US" w:eastAsia="zh-CN"/>
              </w:rPr>
              <w:t>2</w:t>
            </w:r>
            <w:r>
              <w:rPr>
                <w:rFonts w:hint="eastAsia" w:cs="Times New Roman"/>
                <w:color w:val="auto"/>
                <w:sz w:val="24"/>
                <w:szCs w:val="32"/>
                <w:vertAlign w:val="baseline"/>
                <w:lang w:val="en-US" w:eastAsia="zh-CN"/>
              </w:rPr>
              <w:t>（密度1.07g/cm</w:t>
            </w:r>
            <w:r>
              <w:rPr>
                <w:rFonts w:hint="eastAsia" w:cs="Times New Roman"/>
                <w:color w:val="auto"/>
                <w:sz w:val="24"/>
                <w:szCs w:val="32"/>
                <w:vertAlign w:val="superscript"/>
                <w:lang w:val="en-US" w:eastAsia="zh-CN"/>
              </w:rPr>
              <w:t>3</w:t>
            </w:r>
            <w:r>
              <w:rPr>
                <w:rFonts w:hint="eastAsia" w:cs="Times New Roman"/>
                <w:color w:val="auto"/>
                <w:sz w:val="24"/>
                <w:szCs w:val="32"/>
                <w:vertAlign w:val="baseline"/>
                <w:lang w:val="en-US" w:eastAsia="zh-CN"/>
              </w:rPr>
              <w:t>，厚度1.0mm，经计算年用量6.42t/a）。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s="Times New Roman"/>
                <w:color w:val="auto"/>
                <w:sz w:val="24"/>
                <w:szCs w:val="32"/>
                <w:vertAlign w:val="baseline"/>
                <w:lang w:val="en-US" w:eastAsia="zh-CN"/>
              </w:rPr>
            </w:pPr>
            <w:r>
              <w:rPr>
                <w:rFonts w:hint="eastAsia"/>
                <w:color w:val="auto"/>
                <w:sz w:val="24"/>
                <w:szCs w:val="32"/>
                <w:highlight w:val="none"/>
                <w:lang w:val="en-US" w:eastAsia="zh-CN"/>
              </w:rPr>
              <w:t>参考</w:t>
            </w:r>
            <w:r>
              <w:rPr>
                <w:rFonts w:hint="eastAsia"/>
                <w:color w:val="auto"/>
                <w:sz w:val="24"/>
                <w:szCs w:val="32"/>
                <w:highlight w:val="none"/>
              </w:rPr>
              <w:t>《工业源产排污核算方法和系数手册》中“2</w:t>
            </w:r>
            <w:r>
              <w:rPr>
                <w:color w:val="auto"/>
                <w:sz w:val="24"/>
                <w:szCs w:val="32"/>
                <w:highlight w:val="none"/>
              </w:rPr>
              <w:t>92</w:t>
            </w:r>
            <w:r>
              <w:rPr>
                <w:rFonts w:hint="eastAsia"/>
                <w:color w:val="auto"/>
                <w:sz w:val="24"/>
                <w:szCs w:val="32"/>
                <w:highlight w:val="none"/>
                <w:lang w:val="en-US" w:eastAsia="zh-CN"/>
              </w:rPr>
              <w:t>1塑料薄膜</w:t>
            </w:r>
            <w:r>
              <w:rPr>
                <w:rFonts w:hint="eastAsia"/>
                <w:color w:val="auto"/>
                <w:sz w:val="24"/>
                <w:szCs w:val="32"/>
                <w:highlight w:val="none"/>
              </w:rPr>
              <w:t>制造行业系数表”，</w:t>
            </w:r>
            <w:r>
              <w:rPr>
                <w:rFonts w:hint="eastAsia"/>
                <w:color w:val="auto"/>
                <w:sz w:val="24"/>
                <w:szCs w:val="32"/>
                <w:highlight w:val="none"/>
                <w:lang w:val="en-US" w:eastAsia="zh-CN"/>
              </w:rPr>
              <w:t>挥发性有机物产生</w:t>
            </w:r>
            <w:r>
              <w:rPr>
                <w:rFonts w:hint="eastAsia"/>
                <w:color w:val="auto"/>
                <w:sz w:val="24"/>
                <w:szCs w:val="32"/>
                <w:highlight w:val="none"/>
              </w:rPr>
              <w:t>系数为2.5kg</w:t>
            </w:r>
            <w:r>
              <w:rPr>
                <w:color w:val="auto"/>
                <w:sz w:val="24"/>
                <w:szCs w:val="32"/>
                <w:highlight w:val="none"/>
              </w:rPr>
              <w:t>/t</w:t>
            </w:r>
            <w:r>
              <w:rPr>
                <w:rFonts w:hint="eastAsia"/>
                <w:color w:val="auto"/>
                <w:sz w:val="24"/>
                <w:szCs w:val="32"/>
                <w:highlight w:val="none"/>
              </w:rPr>
              <w:t>－产品，本项目</w:t>
            </w:r>
            <w:r>
              <w:rPr>
                <w:rFonts w:hint="eastAsia"/>
                <w:color w:val="auto"/>
                <w:sz w:val="24"/>
                <w:szCs w:val="32"/>
                <w:highlight w:val="none"/>
                <w:lang w:val="en-US" w:eastAsia="zh-CN"/>
              </w:rPr>
              <w:t>产品中PVB膜含量按6.42t/a计算，则非甲烷总烃</w:t>
            </w:r>
            <w:r>
              <w:rPr>
                <w:rFonts w:hint="eastAsia"/>
                <w:color w:val="auto"/>
                <w:sz w:val="24"/>
                <w:szCs w:val="32"/>
                <w:highlight w:val="none"/>
              </w:rPr>
              <w:t>产生量</w:t>
            </w:r>
            <w:r>
              <w:rPr>
                <w:rFonts w:hint="eastAsia"/>
                <w:color w:val="auto"/>
                <w:sz w:val="24"/>
                <w:szCs w:val="32"/>
                <w:highlight w:val="none"/>
                <w:lang w:val="en-US" w:eastAsia="zh-CN"/>
              </w:rPr>
              <w:t>约</w:t>
            </w:r>
            <w:r>
              <w:rPr>
                <w:rFonts w:hint="eastAsia"/>
                <w:color w:val="auto"/>
                <w:sz w:val="24"/>
                <w:szCs w:val="32"/>
                <w:highlight w:val="none"/>
              </w:rPr>
              <w:t>为</w:t>
            </w:r>
            <w:r>
              <w:rPr>
                <w:rFonts w:hint="eastAsia"/>
                <w:color w:val="auto"/>
                <w:sz w:val="24"/>
                <w:szCs w:val="32"/>
                <w:highlight w:val="none"/>
                <w:lang w:val="en-US" w:eastAsia="zh-CN"/>
              </w:rPr>
              <w:t>16.05kg</w:t>
            </w:r>
            <w:r>
              <w:rPr>
                <w:rFonts w:hint="eastAsia"/>
                <w:color w:val="auto"/>
                <w:sz w:val="24"/>
                <w:szCs w:val="32"/>
                <w:highlight w:val="none"/>
              </w:rPr>
              <w:t>/a。</w:t>
            </w:r>
            <w:r>
              <w:rPr>
                <w:rFonts w:hint="eastAsia"/>
                <w:color w:val="auto"/>
                <w:sz w:val="24"/>
                <w:szCs w:val="32"/>
                <w:highlight w:val="none"/>
                <w:lang w:val="en-US" w:eastAsia="zh-CN"/>
              </w:rPr>
              <w:t>生产过程中需要对设备内抽真空，因此废气按100%收集，设备体积约3.0m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，2台非高压热压夹层机年生产频次约10000次/a，废气累计产生量约30000m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/a（12.5m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/h）。</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③收集及处理措施</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sz w:val="24"/>
                <w:szCs w:val="32"/>
                <w:highlight w:val="none"/>
                <w:lang w:val="en-US" w:eastAsia="zh-CN"/>
              </w:rPr>
            </w:pPr>
            <w:r>
              <w:rPr>
                <w:rFonts w:hint="eastAsia"/>
                <w:color w:val="auto"/>
                <w:sz w:val="24"/>
                <w:szCs w:val="32"/>
              </w:rPr>
              <w:t>本项目回流焊设备是封闭加盖</w:t>
            </w:r>
            <w:r>
              <w:rPr>
                <w:rFonts w:hint="eastAsia"/>
                <w:color w:val="auto"/>
                <w:sz w:val="24"/>
                <w:szCs w:val="32"/>
                <w:lang w:eastAsia="zh-CN"/>
              </w:rPr>
              <w:t>（</w:t>
            </w:r>
            <w:r>
              <w:rPr>
                <w:rFonts w:hint="eastAsia"/>
                <w:color w:val="auto"/>
                <w:sz w:val="24"/>
                <w:szCs w:val="32"/>
                <w:lang w:val="en-US" w:eastAsia="zh-CN"/>
              </w:rPr>
              <w:t>仅预留物料进出口，开口切面为0.5m×0.1m</w:t>
            </w:r>
            <w:r>
              <w:rPr>
                <w:rFonts w:hint="eastAsia"/>
                <w:color w:val="auto"/>
                <w:sz w:val="24"/>
                <w:szCs w:val="32"/>
                <w:lang w:eastAsia="zh-CN"/>
              </w:rPr>
              <w:t>）</w:t>
            </w:r>
            <w:r>
              <w:rPr>
                <w:rFonts w:hint="eastAsia"/>
                <w:color w:val="auto"/>
                <w:sz w:val="24"/>
                <w:szCs w:val="32"/>
              </w:rPr>
              <w:t>，回流焊工序在回流炉内前后分别设置废气</w:t>
            </w:r>
            <w:r>
              <w:rPr>
                <w:rFonts w:hint="eastAsia"/>
                <w:color w:val="auto"/>
                <w:sz w:val="24"/>
                <w:szCs w:val="32"/>
                <w:lang w:eastAsia="zh-CN"/>
              </w:rPr>
              <w:t>收集</w:t>
            </w:r>
            <w:r>
              <w:rPr>
                <w:rFonts w:hint="eastAsia"/>
                <w:color w:val="auto"/>
                <w:sz w:val="24"/>
                <w:szCs w:val="32"/>
              </w:rPr>
              <w:t>系统，集气效率≥9</w:t>
            </w:r>
            <w:r>
              <w:rPr>
                <w:rFonts w:hint="eastAsia"/>
                <w:color w:val="auto"/>
                <w:sz w:val="24"/>
                <w:szCs w:val="32"/>
                <w:lang w:val="en-US" w:eastAsia="zh-CN"/>
              </w:rPr>
              <w:t>0</w:t>
            </w:r>
            <w:r>
              <w:rPr>
                <w:color w:val="auto"/>
                <w:sz w:val="24"/>
                <w:szCs w:val="32"/>
              </w:rPr>
              <w:t>%</w:t>
            </w:r>
            <w:r>
              <w:rPr>
                <w:rFonts w:hint="eastAsia"/>
                <w:color w:val="auto"/>
                <w:sz w:val="24"/>
                <w:szCs w:val="32"/>
                <w:lang w:eastAsia="zh-CN"/>
              </w:rPr>
              <w:t>；</w:t>
            </w:r>
            <w:r>
              <w:rPr>
                <w:rFonts w:hint="eastAsia" w:cs="Times New Roman"/>
                <w:color w:val="auto"/>
                <w:sz w:val="24"/>
                <w:szCs w:val="32"/>
                <w:lang w:val="en-US" w:eastAsia="zh-CN"/>
              </w:rPr>
              <w:t>非高压热压夹层机</w:t>
            </w:r>
            <w:r>
              <w:rPr>
                <w:rFonts w:hint="eastAsia"/>
                <w:color w:val="auto"/>
                <w:sz w:val="24"/>
                <w:szCs w:val="32"/>
                <w:highlight w:val="none"/>
                <w:lang w:val="en-US" w:eastAsia="zh-CN"/>
              </w:rPr>
              <w:t>生产过程中需要对设备内抽真空，因此废气按100%收集。</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color w:val="auto"/>
                <w:sz w:val="24"/>
                <w:szCs w:val="32"/>
                <w:lang w:val="en-US" w:eastAsia="zh-CN"/>
              </w:rPr>
            </w:pPr>
            <w:r>
              <w:rPr>
                <w:rFonts w:hint="eastAsia"/>
                <w:color w:val="auto"/>
                <w:sz w:val="24"/>
                <w:szCs w:val="32"/>
              </w:rPr>
              <w:t>收集的废气经</w:t>
            </w:r>
            <w:r>
              <w:rPr>
                <w:rFonts w:hint="eastAsia"/>
                <w:color w:val="auto"/>
                <w:sz w:val="24"/>
                <w:szCs w:val="32"/>
                <w:lang w:val="en-US" w:eastAsia="zh-CN"/>
              </w:rPr>
              <w:t>风冷后由3M</w:t>
            </w:r>
            <w:r>
              <w:rPr>
                <w:rFonts w:hint="eastAsia"/>
                <w:color w:val="auto"/>
                <w:sz w:val="24"/>
                <w:szCs w:val="32"/>
              </w:rPr>
              <w:t>过滤棉+二级活性炭吸附处理后排放，为确保达到《空气过滤器》（G</w:t>
            </w:r>
            <w:r>
              <w:rPr>
                <w:color w:val="auto"/>
                <w:sz w:val="24"/>
                <w:szCs w:val="32"/>
              </w:rPr>
              <w:t>B/T14295-2019</w:t>
            </w:r>
            <w:r>
              <w:rPr>
                <w:rFonts w:hint="eastAsia"/>
                <w:color w:val="auto"/>
                <w:sz w:val="24"/>
                <w:szCs w:val="32"/>
              </w:rPr>
              <w:t>）中高中效果，</w:t>
            </w:r>
            <w:r>
              <w:rPr>
                <w:rFonts w:hint="eastAsia"/>
                <w:color w:val="auto"/>
                <w:sz w:val="24"/>
                <w:szCs w:val="32"/>
                <w:lang w:val="en-US" w:eastAsia="zh-CN"/>
              </w:rPr>
              <w:t>每层</w:t>
            </w:r>
            <w:r>
              <w:rPr>
                <w:rFonts w:hint="eastAsia"/>
                <w:color w:val="auto"/>
                <w:sz w:val="24"/>
                <w:szCs w:val="32"/>
              </w:rPr>
              <w:t>设置</w:t>
            </w:r>
            <w:r>
              <w:rPr>
                <w:rFonts w:hint="eastAsia"/>
                <w:color w:val="auto"/>
                <w:sz w:val="24"/>
                <w:szCs w:val="32"/>
                <w:lang w:val="en-US" w:eastAsia="zh-CN"/>
              </w:rPr>
              <w:t>2</w:t>
            </w:r>
            <w:r>
              <w:rPr>
                <w:color w:val="auto"/>
                <w:sz w:val="24"/>
                <w:szCs w:val="32"/>
              </w:rPr>
              <w:t>000m</w:t>
            </w:r>
            <w:r>
              <w:rPr>
                <w:color w:val="auto"/>
                <w:sz w:val="24"/>
                <w:szCs w:val="32"/>
                <w:vertAlign w:val="superscript"/>
              </w:rPr>
              <w:t>3</w:t>
            </w:r>
            <w:r>
              <w:rPr>
                <w:color w:val="auto"/>
                <w:sz w:val="24"/>
                <w:szCs w:val="32"/>
              </w:rPr>
              <w:t>/h</w:t>
            </w:r>
            <w:r>
              <w:rPr>
                <w:rFonts w:hint="eastAsia"/>
                <w:color w:val="auto"/>
                <w:sz w:val="24"/>
                <w:szCs w:val="32"/>
              </w:rPr>
              <w:t>的风机</w:t>
            </w:r>
            <w:r>
              <w:rPr>
                <w:rFonts w:hint="eastAsia"/>
                <w:color w:val="auto"/>
                <w:sz w:val="24"/>
                <w:szCs w:val="32"/>
                <w:lang w:eastAsia="zh-CN"/>
              </w:rPr>
              <w:t>，</w:t>
            </w:r>
            <w:r>
              <w:rPr>
                <w:rFonts w:hint="eastAsia"/>
                <w:color w:val="auto"/>
                <w:sz w:val="24"/>
                <w:szCs w:val="32"/>
                <w:lang w:val="en-US" w:eastAsia="zh-CN"/>
              </w:rPr>
              <w:t>合计风量为4</w:t>
            </w:r>
            <w:r>
              <w:rPr>
                <w:color w:val="auto"/>
                <w:sz w:val="24"/>
                <w:szCs w:val="32"/>
              </w:rPr>
              <w:t>000m</w:t>
            </w:r>
            <w:r>
              <w:rPr>
                <w:color w:val="auto"/>
                <w:sz w:val="24"/>
                <w:szCs w:val="32"/>
                <w:vertAlign w:val="superscript"/>
              </w:rPr>
              <w:t>3</w:t>
            </w:r>
            <w:r>
              <w:rPr>
                <w:color w:val="auto"/>
                <w:sz w:val="24"/>
                <w:szCs w:val="32"/>
              </w:rPr>
              <w:t>/h</w:t>
            </w:r>
            <w:r>
              <w:rPr>
                <w:rFonts w:hint="eastAsia"/>
                <w:color w:val="auto"/>
                <w:sz w:val="24"/>
                <w:szCs w:val="32"/>
                <w:lang w:eastAsia="zh-CN"/>
              </w:rPr>
              <w:t>。</w:t>
            </w:r>
            <w:r>
              <w:rPr>
                <w:rFonts w:hint="eastAsia"/>
                <w:color w:val="auto"/>
                <w:sz w:val="24"/>
                <w:szCs w:val="32"/>
                <w:lang w:val="en-US" w:eastAsia="zh-CN"/>
              </w:rPr>
              <w:t>回流焊收集的废气和非高压热压夹层机收集的废气一起风冷降温后经过滤棉+二级活性炭处理后再经一根排气筒引至楼顶排放。</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color w:val="auto"/>
                <w:sz w:val="24"/>
                <w:szCs w:val="32"/>
              </w:rPr>
            </w:pPr>
            <w:r>
              <w:rPr>
                <w:rFonts w:hint="eastAsia"/>
                <w:color w:val="auto"/>
                <w:sz w:val="24"/>
                <w:szCs w:val="32"/>
                <w:lang w:val="en-US" w:eastAsia="zh-CN"/>
              </w:rPr>
              <w:t>3M</w:t>
            </w:r>
            <w:r>
              <w:rPr>
                <w:rFonts w:hint="eastAsia"/>
                <w:color w:val="auto"/>
                <w:sz w:val="24"/>
                <w:szCs w:val="32"/>
              </w:rPr>
              <w:t>过滤棉对含重金属的颗粒物去除效率在</w:t>
            </w:r>
            <w:r>
              <w:rPr>
                <w:rFonts w:hint="eastAsia"/>
                <w:color w:val="auto"/>
                <w:sz w:val="24"/>
                <w:szCs w:val="32"/>
                <w:lang w:val="en-US" w:eastAsia="zh-CN"/>
              </w:rPr>
              <w:t>90</w:t>
            </w:r>
            <w:r>
              <w:rPr>
                <w:color w:val="auto"/>
                <w:sz w:val="24"/>
                <w:szCs w:val="32"/>
              </w:rPr>
              <w:t>%</w:t>
            </w:r>
            <w:r>
              <w:rPr>
                <w:rFonts w:hint="eastAsia"/>
                <w:color w:val="auto"/>
                <w:sz w:val="24"/>
                <w:szCs w:val="32"/>
              </w:rPr>
              <w:t>左右</w:t>
            </w:r>
            <w:r>
              <w:rPr>
                <w:rFonts w:hint="eastAsia"/>
                <w:color w:val="auto"/>
                <w:sz w:val="24"/>
                <w:szCs w:val="32"/>
                <w:lang w:eastAsia="zh-CN"/>
              </w:rPr>
              <w:t>（</w:t>
            </w:r>
            <w:r>
              <w:rPr>
                <w:rFonts w:hint="eastAsia"/>
                <w:color w:val="auto"/>
                <w:sz w:val="24"/>
                <w:szCs w:val="32"/>
                <w:lang w:val="en-US" w:eastAsia="zh-CN"/>
              </w:rPr>
              <w:t>产品设计效率</w:t>
            </w:r>
            <w:r>
              <w:rPr>
                <w:rFonts w:hint="eastAsia"/>
                <w:color w:val="auto"/>
                <w:sz w:val="24"/>
                <w:szCs w:val="32"/>
                <w:lang w:eastAsia="zh-CN"/>
              </w:rPr>
              <w:t>）</w:t>
            </w:r>
            <w:r>
              <w:rPr>
                <w:rFonts w:hint="eastAsia"/>
                <w:color w:val="auto"/>
                <w:sz w:val="24"/>
                <w:szCs w:val="32"/>
              </w:rPr>
              <w:t>；根据《</w:t>
            </w:r>
            <w:r>
              <w:rPr>
                <w:rFonts w:hint="eastAsia"/>
                <w:color w:val="auto"/>
                <w:sz w:val="24"/>
                <w:szCs w:val="32"/>
                <w:lang w:val="en-US" w:eastAsia="zh-CN"/>
              </w:rPr>
              <w:t>关于印发&lt;主要污染物总量减排核算技术指南（2022年修订）&gt;的通知</w:t>
            </w:r>
            <w:r>
              <w:rPr>
                <w:rFonts w:hint="eastAsia"/>
                <w:color w:val="auto"/>
                <w:sz w:val="24"/>
                <w:szCs w:val="32"/>
              </w:rPr>
              <w:t>》（</w:t>
            </w:r>
            <w:r>
              <w:rPr>
                <w:rFonts w:hint="eastAsia"/>
                <w:color w:val="auto"/>
                <w:sz w:val="24"/>
                <w:szCs w:val="32"/>
                <w:lang w:val="en-US" w:eastAsia="zh-CN"/>
              </w:rPr>
              <w:t>环办综合函</w:t>
            </w:r>
            <w:r>
              <w:rPr>
                <w:rFonts w:hint="default" w:ascii="Times New Roman" w:hAnsi="Times New Roman" w:eastAsia="宋体" w:cs="Times New Roman"/>
                <w:i w:val="0"/>
                <w:iCs w:val="0"/>
                <w:caps w:val="0"/>
                <w:color w:val="auto"/>
                <w:spacing w:val="0"/>
                <w:sz w:val="24"/>
                <w:szCs w:val="24"/>
                <w:shd w:val="clear" w:fill="FFFFFF"/>
              </w:rPr>
              <w:t>〔202</w:t>
            </w:r>
            <w:r>
              <w:rPr>
                <w:rFonts w:hint="eastAsia" w:cs="Times New Roman"/>
                <w:i w:val="0"/>
                <w:iCs w:val="0"/>
                <w:caps w:val="0"/>
                <w:color w:val="auto"/>
                <w:spacing w:val="0"/>
                <w:sz w:val="24"/>
                <w:szCs w:val="24"/>
                <w:shd w:val="clear" w:fill="FFFFFF"/>
                <w:lang w:val="en-US" w:eastAsia="zh-CN"/>
              </w:rPr>
              <w:t>2</w:t>
            </w:r>
            <w:r>
              <w:rPr>
                <w:rFonts w:hint="default" w:ascii="Times New Roman" w:hAnsi="Times New Roman" w:eastAsia="宋体" w:cs="Times New Roman"/>
                <w:i w:val="0"/>
                <w:iCs w:val="0"/>
                <w:caps w:val="0"/>
                <w:color w:val="auto"/>
                <w:spacing w:val="0"/>
                <w:sz w:val="24"/>
                <w:szCs w:val="24"/>
                <w:shd w:val="clear" w:fill="FFFFFF"/>
              </w:rPr>
              <w:t>〕</w:t>
            </w:r>
            <w:r>
              <w:rPr>
                <w:rFonts w:hint="eastAsia" w:cs="Times New Roman"/>
                <w:i w:val="0"/>
                <w:iCs w:val="0"/>
                <w:caps w:val="0"/>
                <w:color w:val="auto"/>
                <w:spacing w:val="0"/>
                <w:sz w:val="24"/>
                <w:szCs w:val="24"/>
                <w:shd w:val="clear" w:fill="FFFFFF"/>
                <w:lang w:val="en-US" w:eastAsia="zh-CN"/>
              </w:rPr>
              <w:t>350号</w:t>
            </w:r>
            <w:r>
              <w:rPr>
                <w:rFonts w:hint="eastAsia"/>
                <w:color w:val="auto"/>
                <w:sz w:val="24"/>
                <w:szCs w:val="32"/>
              </w:rPr>
              <w:t>）</w:t>
            </w:r>
            <w:r>
              <w:rPr>
                <w:rFonts w:hint="eastAsia"/>
                <w:color w:val="auto"/>
                <w:sz w:val="24"/>
                <w:szCs w:val="32"/>
                <w:lang w:val="en-US" w:eastAsia="zh-CN"/>
              </w:rPr>
              <w:t>附表</w:t>
            </w:r>
            <w:r>
              <w:rPr>
                <w:rFonts w:hint="eastAsia"/>
                <w:color w:val="auto"/>
                <w:sz w:val="24"/>
                <w:szCs w:val="32"/>
              </w:rPr>
              <w:t>中</w:t>
            </w:r>
            <w:r>
              <w:rPr>
                <w:rFonts w:hint="eastAsia"/>
                <w:color w:val="auto"/>
                <w:sz w:val="24"/>
                <w:szCs w:val="32"/>
                <w:lang w:eastAsia="zh-CN"/>
              </w:rPr>
              <w:t>“</w:t>
            </w:r>
            <w:r>
              <w:rPr>
                <w:rFonts w:hint="eastAsia"/>
                <w:color w:val="auto"/>
                <w:sz w:val="24"/>
                <w:szCs w:val="32"/>
                <w:lang w:val="en-US" w:eastAsia="zh-CN"/>
              </w:rPr>
              <w:t>一次性活性炭吸附的集中再生并活化VOCs去除率为50%</w:t>
            </w:r>
            <w:r>
              <w:rPr>
                <w:rFonts w:hint="eastAsia"/>
                <w:color w:val="auto"/>
                <w:sz w:val="24"/>
                <w:szCs w:val="32"/>
                <w:lang w:eastAsia="zh-CN"/>
              </w:rPr>
              <w:t>”，</w:t>
            </w:r>
            <w:r>
              <w:rPr>
                <w:rFonts w:hint="eastAsia"/>
                <w:color w:val="auto"/>
                <w:sz w:val="24"/>
                <w:szCs w:val="32"/>
                <w:lang w:val="en-US" w:eastAsia="zh-CN"/>
              </w:rPr>
              <w:t>本项目采用二级活性炭吸附处理，VOCs去除率为75%</w:t>
            </w:r>
            <w:r>
              <w:rPr>
                <w:rFonts w:hint="eastAsia"/>
                <w:color w:val="auto"/>
                <w:sz w:val="24"/>
                <w:szCs w:val="32"/>
              </w:rPr>
              <w:t>，因此本次环评二级活性炭吸附箱净化效率按</w:t>
            </w:r>
            <w:r>
              <w:rPr>
                <w:rFonts w:hint="eastAsia"/>
                <w:color w:val="auto"/>
                <w:sz w:val="24"/>
                <w:szCs w:val="32"/>
                <w:lang w:val="en-US" w:eastAsia="zh-CN"/>
              </w:rPr>
              <w:t>75</w:t>
            </w:r>
            <w:r>
              <w:rPr>
                <w:rFonts w:hint="eastAsia"/>
                <w:color w:val="auto"/>
                <w:sz w:val="24"/>
                <w:szCs w:val="32"/>
              </w:rPr>
              <w:t>%计算。</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szCs w:val="32"/>
              </w:rPr>
            </w:pPr>
            <w:r>
              <w:rPr>
                <w:rFonts w:hint="eastAsia"/>
                <w:color w:val="auto"/>
                <w:sz w:val="24"/>
                <w:szCs w:val="32"/>
              </w:rPr>
              <w:t>经计算，</w:t>
            </w:r>
            <w:r>
              <w:rPr>
                <w:rFonts w:hint="eastAsia"/>
                <w:color w:val="auto"/>
                <w:sz w:val="24"/>
                <w:szCs w:val="32"/>
                <w:lang w:val="en-US" w:eastAsia="zh-CN"/>
              </w:rPr>
              <w:t>排气筒总风量为4000</w:t>
            </w:r>
            <w:r>
              <w:rPr>
                <w:rFonts w:hint="eastAsia"/>
                <w:color w:val="auto"/>
                <w:sz w:val="24"/>
                <w:szCs w:val="32"/>
                <w:highlight w:val="none"/>
                <w:vertAlign w:val="baseline"/>
                <w:lang w:val="en-US" w:eastAsia="zh-CN"/>
              </w:rPr>
              <w:t>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/h，</w:t>
            </w:r>
            <w:r>
              <w:rPr>
                <w:rFonts w:hint="eastAsia"/>
                <w:color w:val="auto"/>
                <w:sz w:val="24"/>
                <w:szCs w:val="32"/>
              </w:rPr>
              <w:t>有组织废气中颗粒物排放量为</w:t>
            </w:r>
            <w:r>
              <w:rPr>
                <w:rFonts w:hint="eastAsia"/>
                <w:color w:val="auto"/>
                <w:sz w:val="24"/>
                <w:szCs w:val="32"/>
                <w:lang w:val="en-US" w:eastAsia="zh-CN"/>
              </w:rPr>
              <w:t>0.49kg</w:t>
            </w:r>
            <w:r>
              <w:rPr>
                <w:color w:val="auto"/>
                <w:sz w:val="24"/>
                <w:szCs w:val="32"/>
              </w:rPr>
              <w:t>/a</w:t>
            </w:r>
            <w:r>
              <w:rPr>
                <w:rFonts w:hint="eastAsia"/>
                <w:color w:val="auto"/>
                <w:sz w:val="24"/>
                <w:szCs w:val="32"/>
              </w:rPr>
              <w:t>，排放速率为</w:t>
            </w:r>
            <w:r>
              <w:rPr>
                <w:rFonts w:hint="eastAsia"/>
                <w:color w:val="auto"/>
                <w:sz w:val="24"/>
                <w:szCs w:val="32"/>
                <w:lang w:val="en-US" w:eastAsia="zh-CN"/>
              </w:rPr>
              <w:t>2.0</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4</w:t>
            </w:r>
            <w:r>
              <w:rPr>
                <w:color w:val="auto"/>
                <w:sz w:val="24"/>
                <w:szCs w:val="32"/>
              </w:rPr>
              <w:t>kg/h</w:t>
            </w:r>
            <w:r>
              <w:rPr>
                <w:rFonts w:hint="eastAsia"/>
                <w:color w:val="auto"/>
                <w:sz w:val="24"/>
                <w:szCs w:val="32"/>
                <w:lang w:eastAsia="zh-CN"/>
              </w:rPr>
              <w:t>，</w:t>
            </w:r>
            <w:r>
              <w:rPr>
                <w:rFonts w:hint="eastAsia"/>
                <w:color w:val="auto"/>
                <w:sz w:val="24"/>
                <w:szCs w:val="32"/>
                <w:lang w:val="en-US" w:eastAsia="zh-CN"/>
              </w:rPr>
              <w:t>排放浓度为0.051mg/m</w:t>
            </w:r>
            <w:r>
              <w:rPr>
                <w:rFonts w:hint="eastAsia"/>
                <w:color w:val="auto"/>
                <w:sz w:val="24"/>
                <w:szCs w:val="32"/>
                <w:vertAlign w:val="superscript"/>
                <w:lang w:val="en-US" w:eastAsia="zh-CN"/>
              </w:rPr>
              <w:t>3</w:t>
            </w:r>
            <w:r>
              <w:rPr>
                <w:rFonts w:hint="eastAsia"/>
                <w:color w:val="auto"/>
                <w:sz w:val="24"/>
                <w:szCs w:val="32"/>
              </w:rPr>
              <w:t>；</w:t>
            </w:r>
            <w:r>
              <w:rPr>
                <w:rFonts w:hint="eastAsia"/>
                <w:color w:val="auto"/>
                <w:sz w:val="24"/>
                <w:szCs w:val="32"/>
                <w:lang w:val="en-US" w:eastAsia="zh-CN"/>
              </w:rPr>
              <w:t>锡及其化合物</w:t>
            </w:r>
            <w:r>
              <w:rPr>
                <w:rFonts w:hint="eastAsia"/>
                <w:color w:val="auto"/>
                <w:sz w:val="24"/>
                <w:szCs w:val="32"/>
              </w:rPr>
              <w:t>排放量为</w:t>
            </w:r>
            <w:r>
              <w:rPr>
                <w:rFonts w:hint="eastAsia"/>
                <w:color w:val="auto"/>
                <w:sz w:val="24"/>
                <w:szCs w:val="32"/>
                <w:lang w:val="en-US" w:eastAsia="zh-CN"/>
              </w:rPr>
              <w:t>0.416kg</w:t>
            </w:r>
            <w:r>
              <w:rPr>
                <w:color w:val="auto"/>
                <w:sz w:val="24"/>
                <w:szCs w:val="32"/>
              </w:rPr>
              <w:t>/a</w:t>
            </w:r>
            <w:r>
              <w:rPr>
                <w:rFonts w:hint="eastAsia"/>
                <w:color w:val="auto"/>
                <w:sz w:val="24"/>
                <w:szCs w:val="32"/>
              </w:rPr>
              <w:t>，排放速率为</w:t>
            </w:r>
            <w:r>
              <w:rPr>
                <w:rFonts w:hint="eastAsia"/>
                <w:color w:val="auto"/>
                <w:sz w:val="24"/>
                <w:szCs w:val="32"/>
                <w:lang w:val="en-US" w:eastAsia="zh-CN"/>
              </w:rPr>
              <w:t>1.73</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4</w:t>
            </w:r>
            <w:r>
              <w:rPr>
                <w:color w:val="auto"/>
                <w:sz w:val="24"/>
                <w:szCs w:val="32"/>
              </w:rPr>
              <w:t>kg/h</w:t>
            </w:r>
            <w:r>
              <w:rPr>
                <w:rFonts w:hint="eastAsia"/>
                <w:color w:val="auto"/>
                <w:sz w:val="24"/>
                <w:szCs w:val="32"/>
                <w:lang w:eastAsia="zh-CN"/>
              </w:rPr>
              <w:t>，</w:t>
            </w:r>
            <w:r>
              <w:rPr>
                <w:rFonts w:hint="eastAsia"/>
                <w:color w:val="auto"/>
                <w:sz w:val="24"/>
                <w:szCs w:val="32"/>
                <w:lang w:val="en-US" w:eastAsia="zh-CN"/>
              </w:rPr>
              <w:t>排放浓度为0.043mg/m</w:t>
            </w:r>
            <w:r>
              <w:rPr>
                <w:rFonts w:hint="eastAsia"/>
                <w:color w:val="auto"/>
                <w:sz w:val="24"/>
                <w:szCs w:val="32"/>
                <w:vertAlign w:val="superscript"/>
                <w:lang w:val="en-US" w:eastAsia="zh-CN"/>
              </w:rPr>
              <w:t>3</w:t>
            </w:r>
            <w:r>
              <w:rPr>
                <w:rFonts w:hint="eastAsia"/>
                <w:color w:val="auto"/>
                <w:sz w:val="24"/>
                <w:szCs w:val="32"/>
              </w:rPr>
              <w:t>；非甲烷总烃排放量为</w:t>
            </w:r>
            <w:r>
              <w:rPr>
                <w:rFonts w:hint="eastAsia"/>
                <w:color w:val="auto"/>
                <w:sz w:val="24"/>
                <w:szCs w:val="32"/>
                <w:lang w:val="en-US" w:eastAsia="zh-CN"/>
              </w:rPr>
              <w:t>4.41kg</w:t>
            </w:r>
            <w:r>
              <w:rPr>
                <w:color w:val="auto"/>
                <w:sz w:val="24"/>
                <w:szCs w:val="32"/>
              </w:rPr>
              <w:t>/a</w:t>
            </w:r>
            <w:r>
              <w:rPr>
                <w:rFonts w:hint="eastAsia"/>
                <w:color w:val="auto"/>
                <w:sz w:val="24"/>
                <w:szCs w:val="32"/>
              </w:rPr>
              <w:t>，排放速率为</w:t>
            </w:r>
            <w:r>
              <w:rPr>
                <w:rFonts w:hint="eastAsia"/>
                <w:color w:val="auto"/>
                <w:sz w:val="24"/>
                <w:szCs w:val="32"/>
                <w:lang w:val="en-US" w:eastAsia="zh-CN"/>
              </w:rPr>
              <w:t>1.84</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3</w:t>
            </w:r>
            <w:r>
              <w:rPr>
                <w:color w:val="auto"/>
                <w:sz w:val="24"/>
                <w:szCs w:val="32"/>
              </w:rPr>
              <w:t>kg/h</w:t>
            </w:r>
            <w:r>
              <w:rPr>
                <w:rFonts w:hint="eastAsia"/>
                <w:color w:val="auto"/>
                <w:sz w:val="24"/>
                <w:szCs w:val="32"/>
                <w:lang w:eastAsia="zh-CN"/>
              </w:rPr>
              <w:t>，</w:t>
            </w:r>
            <w:r>
              <w:rPr>
                <w:rFonts w:hint="eastAsia"/>
                <w:color w:val="auto"/>
                <w:sz w:val="24"/>
                <w:szCs w:val="32"/>
                <w:lang w:val="en-US" w:eastAsia="zh-CN"/>
              </w:rPr>
              <w:t>排放浓度为0.46mg/m</w:t>
            </w:r>
            <w:r>
              <w:rPr>
                <w:rFonts w:hint="eastAsia"/>
                <w:color w:val="auto"/>
                <w:sz w:val="24"/>
                <w:szCs w:val="32"/>
                <w:vertAlign w:val="superscript"/>
                <w:lang w:val="en-US" w:eastAsia="zh-CN"/>
              </w:rPr>
              <w:t>3</w:t>
            </w:r>
            <w:r>
              <w:rPr>
                <w:rFonts w:hint="eastAsia"/>
                <w:color w:val="auto"/>
                <w:sz w:val="24"/>
                <w:szCs w:val="32"/>
              </w:rPr>
              <w:t>；无组织废气颗粒物排放量为</w:t>
            </w:r>
            <w:r>
              <w:rPr>
                <w:rFonts w:hint="eastAsia"/>
                <w:color w:val="auto"/>
                <w:sz w:val="24"/>
                <w:szCs w:val="32"/>
                <w:lang w:val="en-US" w:eastAsia="zh-CN"/>
              </w:rPr>
              <w:t>0.55kg</w:t>
            </w:r>
            <w:r>
              <w:rPr>
                <w:color w:val="auto"/>
                <w:sz w:val="24"/>
                <w:szCs w:val="32"/>
              </w:rPr>
              <w:t>/a</w:t>
            </w:r>
            <w:r>
              <w:rPr>
                <w:rFonts w:hint="eastAsia"/>
                <w:color w:val="auto"/>
                <w:sz w:val="24"/>
                <w:szCs w:val="32"/>
              </w:rPr>
              <w:t>，</w:t>
            </w:r>
            <w:r>
              <w:rPr>
                <w:rFonts w:hint="eastAsia"/>
                <w:color w:val="auto"/>
                <w:sz w:val="24"/>
                <w:szCs w:val="32"/>
                <w:lang w:val="en-US" w:eastAsia="zh-CN"/>
              </w:rPr>
              <w:t>锡及其化合物</w:t>
            </w:r>
            <w:r>
              <w:rPr>
                <w:rFonts w:hint="eastAsia"/>
                <w:color w:val="auto"/>
                <w:sz w:val="24"/>
                <w:szCs w:val="32"/>
              </w:rPr>
              <w:t>排放量为</w:t>
            </w:r>
            <w:r>
              <w:rPr>
                <w:rFonts w:hint="eastAsia"/>
                <w:color w:val="auto"/>
                <w:sz w:val="24"/>
                <w:szCs w:val="32"/>
                <w:lang w:val="en-US" w:eastAsia="zh-CN"/>
              </w:rPr>
              <w:t>0.46kg</w:t>
            </w:r>
            <w:r>
              <w:rPr>
                <w:color w:val="auto"/>
                <w:sz w:val="24"/>
                <w:szCs w:val="32"/>
              </w:rPr>
              <w:t>/a</w:t>
            </w:r>
            <w:r>
              <w:rPr>
                <w:rFonts w:hint="eastAsia"/>
                <w:color w:val="auto"/>
                <w:sz w:val="24"/>
                <w:szCs w:val="32"/>
              </w:rPr>
              <w:t>，非甲烷总烃0</w:t>
            </w:r>
            <w:r>
              <w:rPr>
                <w:color w:val="auto"/>
                <w:sz w:val="24"/>
                <w:szCs w:val="32"/>
              </w:rPr>
              <w:t>.</w:t>
            </w:r>
            <w:r>
              <w:rPr>
                <w:rFonts w:hint="eastAsia"/>
                <w:color w:val="auto"/>
                <w:sz w:val="24"/>
                <w:szCs w:val="32"/>
                <w:lang w:val="en-US" w:eastAsia="zh-CN"/>
              </w:rPr>
              <w:t>177kg</w:t>
            </w:r>
            <w:r>
              <w:rPr>
                <w:color w:val="auto"/>
                <w:sz w:val="24"/>
                <w:szCs w:val="32"/>
              </w:rPr>
              <w:t>/a</w:t>
            </w:r>
            <w:r>
              <w:rPr>
                <w:rFonts w:hint="eastAsia"/>
                <w:color w:val="auto"/>
                <w:sz w:val="24"/>
                <w:szCs w:val="3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jc w:val="left"/>
              <w:textAlignment w:val="auto"/>
              <w:rPr>
                <w:rFonts w:hint="default"/>
                <w:b/>
                <w:bCs/>
                <w:color w:val="auto"/>
                <w:sz w:val="24"/>
                <w:lang w:val="en-US" w:eastAsia="zh-CN"/>
              </w:rPr>
            </w:pPr>
            <w:r>
              <w:rPr>
                <w:rFonts w:hint="eastAsia"/>
                <w:b/>
                <w:bCs/>
                <w:color w:val="auto"/>
                <w:sz w:val="24"/>
                <w:lang w:eastAsia="zh-CN"/>
              </w:rPr>
              <w:t>（</w:t>
            </w:r>
            <w:r>
              <w:rPr>
                <w:rFonts w:hint="eastAsia"/>
                <w:b/>
                <w:bCs/>
                <w:color w:val="auto"/>
                <w:sz w:val="24"/>
                <w:lang w:val="en-US" w:eastAsia="zh-CN"/>
              </w:rPr>
              <w:t>3</w:t>
            </w:r>
            <w:r>
              <w:rPr>
                <w:rFonts w:hint="eastAsia"/>
                <w:b/>
                <w:bCs/>
                <w:color w:val="auto"/>
                <w:sz w:val="24"/>
                <w:lang w:eastAsia="zh-CN"/>
              </w:rPr>
              <w:t>）</w:t>
            </w:r>
            <w:r>
              <w:rPr>
                <w:rFonts w:hint="eastAsia"/>
                <w:b/>
                <w:bCs/>
                <w:color w:val="auto"/>
                <w:sz w:val="24"/>
                <w:lang w:val="en-US" w:eastAsia="zh-CN"/>
              </w:rPr>
              <w:t>无组织源强核算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rFonts w:hint="eastAsia" w:cs="Times New Roman"/>
                <w:color w:val="auto"/>
                <w:kern w:val="2"/>
                <w:sz w:val="24"/>
                <w:szCs w:val="24"/>
                <w:highlight w:val="none"/>
                <w:lang w:val="en-US" w:eastAsia="zh-CN" w:bidi="ar-SA"/>
              </w:rPr>
              <w:t>本项目单晶硅片串焊机、人工补焊机（用于焊接电源、控制芯片）等采用移动式焊烟净化器处理后车间内无组织排放，车间内共设置21台换气扇进行强制通风。人工焊接使用无铅焊锡丝，年用量约6kg/a，无铅焊锡丝中助焊剂成分约3.0%、铜0.7%、锡96.3%。</w:t>
            </w:r>
            <w:r>
              <w:rPr>
                <w:rFonts w:hint="eastAsia" w:cs="Times New Roman"/>
                <w:color w:val="auto"/>
                <w:sz w:val="24"/>
                <w:szCs w:val="32"/>
                <w:lang w:val="en-US" w:eastAsia="zh-CN"/>
              </w:rPr>
              <w:t>本次环评按照助焊剂均挥发为非甲烷总烃计算，则非甲烷总烃产生量约为0.18kg/a；</w:t>
            </w:r>
            <w:r>
              <w:rPr>
                <w:rFonts w:hint="eastAsia"/>
                <w:color w:val="auto"/>
                <w:sz w:val="24"/>
                <w:szCs w:val="24"/>
              </w:rPr>
              <w:t>锡及其化合物主要是以颗粒的形式存在焊接烟尘中，</w:t>
            </w:r>
            <w:r>
              <w:rPr>
                <w:color w:val="auto"/>
                <w:sz w:val="24"/>
                <w:szCs w:val="24"/>
              </w:rPr>
              <w:t>产污系数参考</w:t>
            </w:r>
            <w:r>
              <w:rPr>
                <w:rFonts w:hint="eastAsia"/>
                <w:color w:val="auto"/>
                <w:sz w:val="24"/>
                <w:szCs w:val="32"/>
                <w:highlight w:val="none"/>
              </w:rPr>
              <w:t>《工业源产排污核算方法和系数手册》中“</w:t>
            </w:r>
            <w:r>
              <w:rPr>
                <w:rFonts w:hint="eastAsia"/>
                <w:color w:val="auto"/>
                <w:sz w:val="24"/>
                <w:szCs w:val="32"/>
                <w:highlight w:val="none"/>
                <w:lang w:val="en-US" w:eastAsia="zh-CN"/>
              </w:rPr>
              <w:t>220.38~40电子电器行业系数手册</w:t>
            </w:r>
            <w:r>
              <w:rPr>
                <w:rFonts w:hint="eastAsia"/>
                <w:color w:val="auto"/>
                <w:sz w:val="24"/>
                <w:szCs w:val="32"/>
                <w:highlight w:val="none"/>
              </w:rPr>
              <w:t>”，</w:t>
            </w:r>
            <w:r>
              <w:rPr>
                <w:rFonts w:hint="eastAsia"/>
                <w:color w:val="auto"/>
                <w:sz w:val="24"/>
                <w:szCs w:val="32"/>
                <w:highlight w:val="none"/>
                <w:lang w:val="en-US" w:eastAsia="zh-CN"/>
              </w:rPr>
              <w:t>焊接工段无铅焊料（手工焊）产生</w:t>
            </w:r>
            <w:r>
              <w:rPr>
                <w:rFonts w:hint="eastAsia"/>
                <w:color w:val="auto"/>
                <w:sz w:val="24"/>
                <w:szCs w:val="32"/>
                <w:highlight w:val="none"/>
              </w:rPr>
              <w:t>系数为</w:t>
            </w:r>
            <w:r>
              <w:rPr>
                <w:rFonts w:hint="eastAsia"/>
                <w:color w:val="auto"/>
                <w:sz w:val="24"/>
                <w:szCs w:val="32"/>
                <w:highlight w:val="none"/>
                <w:lang w:val="en-US" w:eastAsia="zh-CN"/>
              </w:rPr>
              <w:t>4.023×10</w:t>
            </w:r>
            <w:r>
              <w:rPr>
                <w:rFonts w:hint="eastAsia"/>
                <w:color w:val="auto"/>
                <w:sz w:val="24"/>
                <w:szCs w:val="32"/>
                <w:highlight w:val="none"/>
                <w:vertAlign w:val="superscript"/>
                <w:lang w:val="en-US" w:eastAsia="zh-CN"/>
              </w:rPr>
              <w:t>-1</w:t>
            </w:r>
            <w:r>
              <w:rPr>
                <w:rFonts w:hint="eastAsia"/>
                <w:color w:val="auto"/>
                <w:sz w:val="24"/>
                <w:szCs w:val="32"/>
                <w:highlight w:val="none"/>
                <w:lang w:val="en-US" w:eastAsia="zh-CN"/>
              </w:rPr>
              <w:t>克/千克-焊料</w:t>
            </w:r>
            <w:r>
              <w:rPr>
                <w:rFonts w:hint="eastAsia"/>
                <w:color w:val="auto"/>
                <w:sz w:val="24"/>
                <w:szCs w:val="32"/>
                <w:highlight w:val="none"/>
              </w:rPr>
              <w:t>，</w:t>
            </w:r>
            <w:r>
              <w:rPr>
                <w:rFonts w:hint="eastAsia"/>
                <w:color w:val="auto"/>
                <w:sz w:val="24"/>
                <w:szCs w:val="32"/>
                <w:highlight w:val="none"/>
                <w:lang w:val="en-US" w:eastAsia="zh-CN"/>
              </w:rPr>
              <w:t>工业废气量4.191×10</w:t>
            </w:r>
            <w:r>
              <w:rPr>
                <w:rFonts w:hint="eastAsia"/>
                <w:color w:val="auto"/>
                <w:sz w:val="24"/>
                <w:szCs w:val="32"/>
                <w:highlight w:val="none"/>
                <w:vertAlign w:val="superscript"/>
                <w:lang w:val="en-US" w:eastAsia="zh-CN"/>
              </w:rPr>
              <w:t>4</w:t>
            </w:r>
            <w:r>
              <w:rPr>
                <w:rFonts w:hint="eastAsia"/>
                <w:color w:val="auto"/>
                <w:sz w:val="24"/>
                <w:szCs w:val="32"/>
                <w:highlight w:val="none"/>
                <w:lang w:val="en-US" w:eastAsia="zh-CN"/>
              </w:rPr>
              <w:t>标立方/千件-产品，本项目产品20000m</w:t>
            </w:r>
            <w:r>
              <w:rPr>
                <w:rFonts w:hint="eastAsia"/>
                <w:color w:val="auto"/>
                <w:sz w:val="24"/>
                <w:szCs w:val="32"/>
                <w:highlight w:val="none"/>
                <w:vertAlign w:val="superscript"/>
                <w:lang w:val="en-US" w:eastAsia="zh-CN"/>
              </w:rPr>
              <w:t>2</w:t>
            </w:r>
            <w:r>
              <w:rPr>
                <w:rFonts w:hint="eastAsia"/>
                <w:color w:val="auto"/>
                <w:sz w:val="24"/>
                <w:szCs w:val="32"/>
                <w:highlight w:val="none"/>
                <w:lang w:val="en-US" w:eastAsia="zh-CN"/>
              </w:rPr>
              <w:t>（即20000件），经计算颗粒物产生量为2.41kg/a、废气量为83.82×10</w:t>
            </w:r>
            <w:r>
              <w:rPr>
                <w:rFonts w:hint="eastAsia"/>
                <w:color w:val="auto"/>
                <w:sz w:val="24"/>
                <w:szCs w:val="32"/>
                <w:highlight w:val="none"/>
                <w:vertAlign w:val="superscript"/>
                <w:lang w:val="en-US" w:eastAsia="zh-CN"/>
              </w:rPr>
              <w:t>4</w:t>
            </w:r>
            <w:r>
              <w:rPr>
                <w:rFonts w:hint="eastAsia"/>
                <w:color w:val="auto"/>
                <w:sz w:val="24"/>
                <w:szCs w:val="32"/>
                <w:highlight w:val="none"/>
                <w:lang w:val="en-US" w:eastAsia="zh-CN"/>
              </w:rPr>
              <w:t>Nm</w:t>
            </w:r>
            <w:r>
              <w:rPr>
                <w:rFonts w:hint="eastAsia"/>
                <w:color w:val="auto"/>
                <w:sz w:val="24"/>
                <w:szCs w:val="32"/>
                <w:highlight w:val="none"/>
                <w:vertAlign w:val="superscript"/>
                <w:lang w:val="en-US" w:eastAsia="zh-CN"/>
              </w:rPr>
              <w:t>3</w:t>
            </w:r>
            <w:r>
              <w:rPr>
                <w:rFonts w:hint="eastAsia"/>
                <w:color w:val="auto"/>
                <w:sz w:val="24"/>
                <w:szCs w:val="32"/>
                <w:highlight w:val="none"/>
                <w:lang w:val="en-US" w:eastAsia="zh-CN"/>
              </w:rPr>
              <w:t>/a（349.25</w:t>
            </w:r>
            <w:r>
              <w:rPr>
                <w:rFonts w:hint="eastAsia"/>
                <w:color w:val="auto"/>
                <w:sz w:val="24"/>
                <w:szCs w:val="32"/>
                <w:highlight w:val="none"/>
                <w:vertAlign w:val="baseline"/>
                <w:lang w:val="en-US" w:eastAsia="zh-CN"/>
              </w:rPr>
              <w:t>m</w:t>
            </w:r>
            <w:r>
              <w:rPr>
                <w:rFonts w:hint="eastAsia"/>
                <w:color w:val="auto"/>
                <w:sz w:val="24"/>
                <w:szCs w:val="32"/>
                <w:highlight w:val="none"/>
                <w:vertAlign w:val="superscript"/>
                <w:lang w:val="en-US" w:eastAsia="zh-CN"/>
              </w:rPr>
              <w:t>3</w:t>
            </w:r>
            <w:r>
              <w:rPr>
                <w:rFonts w:hint="eastAsia"/>
                <w:color w:val="auto"/>
                <w:sz w:val="24"/>
                <w:szCs w:val="32"/>
                <w:highlight w:val="none"/>
                <w:vertAlign w:val="baseline"/>
                <w:lang w:val="en-US" w:eastAsia="zh-CN"/>
              </w:rPr>
              <w:t>/h</w:t>
            </w:r>
            <w:r>
              <w:rPr>
                <w:rFonts w:hint="eastAsia"/>
                <w:color w:val="auto"/>
                <w:sz w:val="24"/>
                <w:szCs w:val="32"/>
                <w:highlight w:val="none"/>
                <w:lang w:val="en-US" w:eastAsia="zh-CN"/>
              </w:rPr>
              <w:t>），焊锡膏中锡的含量为96.3%，因此锡及其化合物产生量为2.32kg/a</w:t>
            </w:r>
            <w:r>
              <w:rPr>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lang w:val="en-US" w:eastAsia="zh-CN"/>
              </w:rPr>
            </w:pPr>
            <w:r>
              <w:rPr>
                <w:rFonts w:hint="eastAsia"/>
                <w:color w:val="auto"/>
                <w:sz w:val="24"/>
                <w:szCs w:val="24"/>
                <w:lang w:val="en-US" w:eastAsia="zh-CN"/>
              </w:rPr>
              <w:t>每个焊接工位设置1台移动式焊烟净化器，</w:t>
            </w:r>
            <w:r>
              <w:rPr>
                <w:rFonts w:hint="eastAsia"/>
                <w:color w:val="auto"/>
                <w:sz w:val="24"/>
                <w:szCs w:val="24"/>
              </w:rPr>
              <w:t>焊烟净化器内装过滤棉和活性炭，处理效率在</w:t>
            </w:r>
            <w:r>
              <w:rPr>
                <w:rFonts w:hint="eastAsia"/>
                <w:color w:val="auto"/>
                <w:sz w:val="24"/>
                <w:szCs w:val="24"/>
                <w:lang w:val="en-US" w:eastAsia="zh-CN"/>
              </w:rPr>
              <w:t>70</w:t>
            </w:r>
            <w:r>
              <w:rPr>
                <w:color w:val="auto"/>
                <w:sz w:val="24"/>
                <w:szCs w:val="24"/>
              </w:rPr>
              <w:t>%</w:t>
            </w:r>
            <w:r>
              <w:rPr>
                <w:rFonts w:hint="eastAsia"/>
                <w:color w:val="auto"/>
                <w:sz w:val="24"/>
                <w:szCs w:val="24"/>
              </w:rPr>
              <w:t>左右</w:t>
            </w:r>
            <w:r>
              <w:rPr>
                <w:rFonts w:hint="eastAsia"/>
                <w:color w:val="auto"/>
                <w:sz w:val="24"/>
                <w:szCs w:val="24"/>
                <w:lang w:eastAsia="zh-CN"/>
              </w:rPr>
              <w:t>；</w:t>
            </w:r>
            <w:r>
              <w:rPr>
                <w:rFonts w:hint="eastAsia"/>
                <w:color w:val="auto"/>
                <w:sz w:val="24"/>
                <w:szCs w:val="24"/>
                <w:lang w:val="en-US" w:eastAsia="zh-CN"/>
              </w:rPr>
              <w:t>设置可移动式的集气罩，焊接过程中集气罩距工作界面0.1m，</w:t>
            </w:r>
            <w:r>
              <w:rPr>
                <w:rFonts w:hint="eastAsia"/>
                <w:color w:val="auto"/>
                <w:sz w:val="24"/>
                <w:szCs w:val="32"/>
                <w:lang w:val="en-US" w:eastAsia="zh-CN"/>
              </w:rPr>
              <w:t>根据陕西省生态环境厅关于印发《陕西省排污许可制支撑空气质量持续改善实施方案》的通知（陕环发</w:t>
            </w:r>
            <w:r>
              <w:rPr>
                <w:rFonts w:hint="default" w:ascii="Times New Roman" w:hAnsi="Times New Roman" w:eastAsia="宋体" w:cs="Times New Roman"/>
                <w:i w:val="0"/>
                <w:iCs w:val="0"/>
                <w:caps w:val="0"/>
                <w:color w:val="auto"/>
                <w:spacing w:val="0"/>
                <w:sz w:val="24"/>
                <w:szCs w:val="24"/>
                <w:shd w:val="clear" w:fill="FFFFFF"/>
              </w:rPr>
              <w:t>〔2023〕59号</w:t>
            </w:r>
            <w:r>
              <w:rPr>
                <w:rFonts w:hint="eastAsia"/>
                <w:color w:val="auto"/>
                <w:sz w:val="24"/>
                <w:szCs w:val="32"/>
                <w:lang w:val="en-US" w:eastAsia="zh-CN"/>
              </w:rPr>
              <w:t>）中</w:t>
            </w:r>
            <w:r>
              <w:rPr>
                <w:rFonts w:hint="eastAsia"/>
                <w:color w:val="auto"/>
                <w:sz w:val="24"/>
                <w:szCs w:val="32"/>
              </w:rPr>
              <w:t>集气效率按</w:t>
            </w:r>
            <w:r>
              <w:rPr>
                <w:rFonts w:hint="eastAsia"/>
                <w:color w:val="auto"/>
                <w:sz w:val="24"/>
                <w:szCs w:val="32"/>
                <w:lang w:val="en-US" w:eastAsia="zh-CN"/>
              </w:rPr>
              <w:t>60</w:t>
            </w:r>
            <w:r>
              <w:rPr>
                <w:rFonts w:hint="eastAsia"/>
                <w:color w:val="auto"/>
                <w:sz w:val="24"/>
                <w:szCs w:val="32"/>
              </w:rPr>
              <w:t>%计算</w:t>
            </w:r>
            <w:r>
              <w:rPr>
                <w:rFonts w:hint="eastAsia"/>
                <w:color w:val="auto"/>
                <w:sz w:val="24"/>
                <w:szCs w:val="32"/>
                <w:lang w:eastAsia="zh-CN"/>
              </w:rPr>
              <w:t>。</w:t>
            </w:r>
            <w:r>
              <w:rPr>
                <w:rFonts w:hint="eastAsia"/>
                <w:color w:val="auto"/>
                <w:sz w:val="24"/>
                <w:szCs w:val="32"/>
                <w:lang w:val="en-US" w:eastAsia="zh-CN"/>
              </w:rPr>
              <w:t>经计算，颗粒物无组织排放量为1.40kg/a、锡及其化合物无组织排放量为1.35kg/a、非甲烷总烃无组织排放量0.1044kg/a。</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jc w:val="left"/>
              <w:textAlignment w:val="auto"/>
              <w:rPr>
                <w:color w:val="auto"/>
                <w:sz w:val="24"/>
                <w:szCs w:val="32"/>
              </w:rPr>
            </w:pPr>
            <w:r>
              <w:rPr>
                <w:rFonts w:hint="eastAsia"/>
                <w:b/>
                <w:bCs/>
                <w:color w:val="auto"/>
                <w:sz w:val="24"/>
                <w:lang w:eastAsia="zh-CN"/>
              </w:rPr>
              <w:t>（</w:t>
            </w:r>
            <w:r>
              <w:rPr>
                <w:rFonts w:hint="eastAsia"/>
                <w:b/>
                <w:bCs/>
                <w:color w:val="auto"/>
                <w:sz w:val="24"/>
                <w:lang w:val="en-US" w:eastAsia="zh-CN"/>
              </w:rPr>
              <w:t>4</w:t>
            </w:r>
            <w:r>
              <w:rPr>
                <w:rFonts w:hint="eastAsia"/>
                <w:b/>
                <w:bCs/>
                <w:color w:val="auto"/>
                <w:sz w:val="24"/>
                <w:lang w:eastAsia="zh-CN"/>
              </w:rPr>
              <w:t>）</w:t>
            </w:r>
            <w:r>
              <w:rPr>
                <w:b/>
                <w:bCs/>
                <w:color w:val="auto"/>
                <w:sz w:val="24"/>
                <w:szCs w:val="32"/>
              </w:rPr>
              <w:t>废气监测计划</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color w:val="auto"/>
                <w:sz w:val="24"/>
                <w:szCs w:val="32"/>
              </w:rPr>
            </w:pPr>
            <w:r>
              <w:rPr>
                <w:rFonts w:hint="eastAsia"/>
                <w:color w:val="auto"/>
                <w:sz w:val="24"/>
                <w:szCs w:val="32"/>
                <w:lang w:val="en-US" w:eastAsia="zh-CN"/>
              </w:rPr>
              <w:t>本项目在1层和4层分别设置1条生产线，每条生产线均设置1套废气处理设备，废气经处理后引至厂房外合并一根排气筒排放，因此分别在1层、4层废气处理设备前后设置监测点位，</w:t>
            </w:r>
            <w:r>
              <w:rPr>
                <w:rFonts w:hint="eastAsia"/>
                <w:color w:val="auto"/>
                <w:sz w:val="24"/>
                <w:szCs w:val="32"/>
              </w:rPr>
              <w:t>根据</w:t>
            </w:r>
            <w:r>
              <w:rPr>
                <w:color w:val="auto"/>
                <w:sz w:val="24"/>
                <w:szCs w:val="32"/>
              </w:rPr>
              <w:t>《排污单位自行监测技术指南 总则》（HJ819-2017）</w:t>
            </w:r>
            <w:r>
              <w:rPr>
                <w:rFonts w:hint="eastAsia"/>
                <w:color w:val="auto"/>
                <w:sz w:val="24"/>
                <w:szCs w:val="32"/>
              </w:rPr>
              <w:t>，本项目</w:t>
            </w:r>
            <w:r>
              <w:rPr>
                <w:color w:val="auto"/>
                <w:sz w:val="24"/>
                <w:szCs w:val="32"/>
              </w:rPr>
              <w:t>废气监测计划见下表：</w:t>
            </w:r>
          </w:p>
          <w:p>
            <w:pPr>
              <w:pStyle w:val="98"/>
              <w:rPr>
                <w:b/>
                <w:bCs/>
                <w:color w:val="auto"/>
              </w:rPr>
            </w:pPr>
            <w:r>
              <w:rPr>
                <w:b/>
                <w:bCs/>
                <w:color w:val="auto"/>
              </w:rPr>
              <w:t>表4-</w:t>
            </w:r>
            <w:r>
              <w:rPr>
                <w:rFonts w:hint="eastAsia"/>
                <w:b/>
                <w:bCs/>
                <w:color w:val="auto"/>
                <w:lang w:val="en-US" w:eastAsia="zh-CN"/>
              </w:rPr>
              <w:t>3</w:t>
            </w:r>
            <w:r>
              <w:rPr>
                <w:b/>
                <w:bCs/>
                <w:color w:val="auto"/>
              </w:rPr>
              <w:t xml:space="preserve"> </w:t>
            </w:r>
            <w:r>
              <w:rPr>
                <w:rFonts w:hint="eastAsia"/>
                <w:b/>
                <w:bCs/>
                <w:color w:val="auto"/>
              </w:rPr>
              <w:t xml:space="preserve"> </w:t>
            </w:r>
            <w:r>
              <w:rPr>
                <w:b/>
                <w:bCs/>
                <w:color w:val="auto"/>
              </w:rPr>
              <w:t xml:space="preserve"> 项目废气监测计划一览表</w:t>
            </w:r>
          </w:p>
          <w:tbl>
            <w:tblPr>
              <w:tblStyle w:val="2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52"/>
              <w:gridCol w:w="835"/>
              <w:gridCol w:w="1573"/>
              <w:gridCol w:w="2884"/>
              <w:gridCol w:w="716"/>
              <w:gridCol w:w="13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8" w:type="dxa"/>
                  <w:gridSpan w:val="2"/>
                  <w:vAlign w:val="center"/>
                </w:tcPr>
                <w:p>
                  <w:pPr>
                    <w:pStyle w:val="98"/>
                    <w:rPr>
                      <w:color w:val="auto"/>
                    </w:rPr>
                  </w:pPr>
                  <w:bookmarkStart w:id="6" w:name="_Hlk71189819"/>
                  <w:r>
                    <w:rPr>
                      <w:color w:val="auto"/>
                    </w:rPr>
                    <w:t>项目</w:t>
                  </w:r>
                </w:p>
              </w:tc>
              <w:tc>
                <w:tcPr>
                  <w:tcW w:w="835" w:type="dxa"/>
                  <w:vAlign w:val="center"/>
                </w:tcPr>
                <w:p>
                  <w:pPr>
                    <w:pStyle w:val="98"/>
                    <w:rPr>
                      <w:color w:val="auto"/>
                    </w:rPr>
                  </w:pPr>
                  <w:r>
                    <w:rPr>
                      <w:color w:val="auto"/>
                    </w:rPr>
                    <w:t>监测位置</w:t>
                  </w:r>
                </w:p>
              </w:tc>
              <w:tc>
                <w:tcPr>
                  <w:tcW w:w="1573" w:type="dxa"/>
                  <w:vAlign w:val="center"/>
                </w:tcPr>
                <w:p>
                  <w:pPr>
                    <w:pStyle w:val="98"/>
                    <w:rPr>
                      <w:color w:val="auto"/>
                    </w:rPr>
                  </w:pPr>
                  <w:r>
                    <w:rPr>
                      <w:color w:val="auto"/>
                    </w:rPr>
                    <w:t>监测项目</w:t>
                  </w:r>
                </w:p>
              </w:tc>
              <w:tc>
                <w:tcPr>
                  <w:tcW w:w="2884" w:type="dxa"/>
                  <w:vAlign w:val="center"/>
                </w:tcPr>
                <w:p>
                  <w:pPr>
                    <w:pStyle w:val="98"/>
                    <w:rPr>
                      <w:color w:val="auto"/>
                    </w:rPr>
                  </w:pPr>
                  <w:r>
                    <w:rPr>
                      <w:color w:val="auto"/>
                    </w:rPr>
                    <w:t>取样位置</w:t>
                  </w:r>
                </w:p>
              </w:tc>
              <w:tc>
                <w:tcPr>
                  <w:tcW w:w="716" w:type="dxa"/>
                  <w:vAlign w:val="center"/>
                </w:tcPr>
                <w:p>
                  <w:pPr>
                    <w:pStyle w:val="98"/>
                    <w:rPr>
                      <w:color w:val="auto"/>
                    </w:rPr>
                  </w:pPr>
                  <w:r>
                    <w:rPr>
                      <w:color w:val="auto"/>
                    </w:rPr>
                    <w:t>监测频率</w:t>
                  </w:r>
                </w:p>
              </w:tc>
              <w:tc>
                <w:tcPr>
                  <w:tcW w:w="1382" w:type="dxa"/>
                  <w:vAlign w:val="center"/>
                </w:tcPr>
                <w:p>
                  <w:pPr>
                    <w:pStyle w:val="98"/>
                    <w:rPr>
                      <w:color w:val="auto"/>
                    </w:rPr>
                  </w:pPr>
                  <w:r>
                    <w:rPr>
                      <w:color w:val="auto"/>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26" w:type="dxa"/>
                  <w:vMerge w:val="restart"/>
                  <w:vAlign w:val="center"/>
                </w:tcPr>
                <w:p>
                  <w:pPr>
                    <w:pStyle w:val="98"/>
                    <w:rPr>
                      <w:color w:val="auto"/>
                    </w:rPr>
                  </w:pPr>
                  <w:r>
                    <w:rPr>
                      <w:rFonts w:hint="eastAsia"/>
                      <w:color w:val="auto"/>
                    </w:rPr>
                    <w:t>废气</w:t>
                  </w:r>
                </w:p>
              </w:tc>
              <w:tc>
                <w:tcPr>
                  <w:tcW w:w="652" w:type="dxa"/>
                  <w:vMerge w:val="restart"/>
                  <w:vAlign w:val="center"/>
                </w:tcPr>
                <w:p>
                  <w:pPr>
                    <w:pStyle w:val="98"/>
                    <w:rPr>
                      <w:color w:val="auto"/>
                    </w:rPr>
                  </w:pPr>
                  <w:r>
                    <w:rPr>
                      <w:rFonts w:hint="eastAsia"/>
                      <w:color w:val="auto"/>
                    </w:rPr>
                    <w:t>有组织</w:t>
                  </w:r>
                </w:p>
              </w:tc>
              <w:tc>
                <w:tcPr>
                  <w:tcW w:w="835" w:type="dxa"/>
                  <w:vMerge w:val="restart"/>
                  <w:vAlign w:val="center"/>
                </w:tcPr>
                <w:p>
                  <w:pPr>
                    <w:pStyle w:val="98"/>
                    <w:rPr>
                      <w:color w:val="auto"/>
                    </w:rPr>
                  </w:pPr>
                  <w:r>
                    <w:rPr>
                      <w:color w:val="auto"/>
                    </w:rPr>
                    <w:t>DA001</w:t>
                  </w:r>
                </w:p>
              </w:tc>
              <w:tc>
                <w:tcPr>
                  <w:tcW w:w="1573" w:type="dxa"/>
                  <w:vMerge w:val="restart"/>
                  <w:vAlign w:val="center"/>
                </w:tcPr>
                <w:p>
                  <w:pPr>
                    <w:pStyle w:val="98"/>
                    <w:rPr>
                      <w:rFonts w:hint="default" w:eastAsia="宋体"/>
                      <w:color w:val="auto"/>
                      <w:lang w:val="en-US" w:eastAsia="zh-CN"/>
                    </w:rPr>
                  </w:pPr>
                  <w:r>
                    <w:rPr>
                      <w:rFonts w:hint="eastAsia"/>
                      <w:color w:val="auto"/>
                    </w:rPr>
                    <w:t>非甲烷总烃</w:t>
                  </w:r>
                  <w:r>
                    <w:rPr>
                      <w:rFonts w:hint="eastAsia"/>
                      <w:color w:val="auto"/>
                      <w:lang w:eastAsia="zh-CN"/>
                    </w:rPr>
                    <w:t>、</w:t>
                  </w:r>
                  <w:r>
                    <w:rPr>
                      <w:rFonts w:hint="eastAsia"/>
                      <w:color w:val="auto"/>
                      <w:lang w:val="en-US" w:eastAsia="zh-CN"/>
                    </w:rPr>
                    <w:t>颗粒物、锡及其化合物</w:t>
                  </w:r>
                </w:p>
              </w:tc>
              <w:tc>
                <w:tcPr>
                  <w:tcW w:w="2884" w:type="dxa"/>
                  <w:vAlign w:val="center"/>
                </w:tcPr>
                <w:p>
                  <w:pPr>
                    <w:pStyle w:val="98"/>
                    <w:rPr>
                      <w:rFonts w:hint="default" w:eastAsia="宋体"/>
                      <w:color w:val="auto"/>
                      <w:lang w:val="en-US" w:eastAsia="zh-CN"/>
                    </w:rPr>
                  </w:pPr>
                  <w:r>
                    <w:rPr>
                      <w:rFonts w:hint="eastAsia"/>
                      <w:color w:val="auto"/>
                      <w:lang w:val="en-US" w:eastAsia="zh-CN"/>
                    </w:rPr>
                    <w:t>1层废气处理设备进口、出口</w:t>
                  </w:r>
                </w:p>
              </w:tc>
              <w:tc>
                <w:tcPr>
                  <w:tcW w:w="716" w:type="dxa"/>
                  <w:vMerge w:val="restart"/>
                  <w:vAlign w:val="center"/>
                </w:tcPr>
                <w:p>
                  <w:pPr>
                    <w:pStyle w:val="98"/>
                    <w:rPr>
                      <w:color w:val="auto"/>
                    </w:rPr>
                  </w:pPr>
                  <w:r>
                    <w:rPr>
                      <w:color w:val="auto"/>
                    </w:rPr>
                    <w:t>一次/</w:t>
                  </w:r>
                  <w:r>
                    <w:rPr>
                      <w:rFonts w:hint="eastAsia"/>
                      <w:color w:val="auto"/>
                    </w:rPr>
                    <w:t>半年</w:t>
                  </w:r>
                </w:p>
              </w:tc>
              <w:tc>
                <w:tcPr>
                  <w:tcW w:w="1382" w:type="dxa"/>
                  <w:vMerge w:val="restart"/>
                  <w:vAlign w:val="center"/>
                </w:tcPr>
                <w:p>
                  <w:pPr>
                    <w:pStyle w:val="98"/>
                    <w:rPr>
                      <w:color w:val="auto"/>
                    </w:rPr>
                  </w:pPr>
                  <w:r>
                    <w:rPr>
                      <w:rFonts w:hint="eastAsia"/>
                      <w:color w:val="auto"/>
                      <w:sz w:val="21"/>
                      <w:szCs w:val="21"/>
                    </w:rPr>
                    <w:t>《大气污染物综合排放标准》（G</w:t>
                  </w:r>
                  <w:r>
                    <w:rPr>
                      <w:color w:val="auto"/>
                      <w:sz w:val="21"/>
                      <w:szCs w:val="21"/>
                    </w:rPr>
                    <w:t>B16297-1996</w:t>
                  </w:r>
                  <w:r>
                    <w:rPr>
                      <w:rFonts w:hint="eastAsia"/>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26" w:type="dxa"/>
                  <w:vMerge w:val="continue"/>
                  <w:vAlign w:val="center"/>
                </w:tcPr>
                <w:p>
                  <w:pPr>
                    <w:pStyle w:val="98"/>
                    <w:rPr>
                      <w:color w:val="auto"/>
                    </w:rPr>
                  </w:pPr>
                </w:p>
              </w:tc>
              <w:tc>
                <w:tcPr>
                  <w:tcW w:w="652" w:type="dxa"/>
                  <w:vMerge w:val="continue"/>
                  <w:vAlign w:val="center"/>
                </w:tcPr>
                <w:p>
                  <w:pPr>
                    <w:pStyle w:val="98"/>
                    <w:rPr>
                      <w:color w:val="auto"/>
                    </w:rPr>
                  </w:pPr>
                </w:p>
              </w:tc>
              <w:tc>
                <w:tcPr>
                  <w:tcW w:w="835" w:type="dxa"/>
                  <w:vMerge w:val="continue"/>
                  <w:vAlign w:val="center"/>
                </w:tcPr>
                <w:p>
                  <w:pPr>
                    <w:pStyle w:val="98"/>
                    <w:rPr>
                      <w:color w:val="auto"/>
                    </w:rPr>
                  </w:pPr>
                </w:p>
              </w:tc>
              <w:tc>
                <w:tcPr>
                  <w:tcW w:w="1573" w:type="dxa"/>
                  <w:vMerge w:val="continue"/>
                  <w:vAlign w:val="center"/>
                </w:tcPr>
                <w:p>
                  <w:pPr>
                    <w:pStyle w:val="98"/>
                    <w:rPr>
                      <w:color w:val="auto"/>
                    </w:rPr>
                  </w:pPr>
                </w:p>
              </w:tc>
              <w:tc>
                <w:tcPr>
                  <w:tcW w:w="2884" w:type="dxa"/>
                  <w:vAlign w:val="center"/>
                </w:tcPr>
                <w:p>
                  <w:pPr>
                    <w:pStyle w:val="98"/>
                    <w:rPr>
                      <w:rFonts w:hint="eastAsia"/>
                      <w:color w:val="auto"/>
                    </w:rPr>
                  </w:pPr>
                  <w:r>
                    <w:rPr>
                      <w:rFonts w:hint="eastAsia"/>
                      <w:color w:val="auto"/>
                      <w:lang w:val="en-US" w:eastAsia="zh-CN"/>
                    </w:rPr>
                    <w:t>4层废气处理设备进口、出口</w:t>
                  </w:r>
                </w:p>
              </w:tc>
              <w:tc>
                <w:tcPr>
                  <w:tcW w:w="716" w:type="dxa"/>
                  <w:vMerge w:val="continue"/>
                  <w:vAlign w:val="center"/>
                </w:tcPr>
                <w:p>
                  <w:pPr>
                    <w:pStyle w:val="98"/>
                    <w:rPr>
                      <w:rFonts w:hint="eastAsia"/>
                      <w:color w:val="auto"/>
                    </w:rPr>
                  </w:pPr>
                </w:p>
              </w:tc>
              <w:tc>
                <w:tcPr>
                  <w:tcW w:w="1382" w:type="dxa"/>
                  <w:vMerge w:val="continue"/>
                  <w:vAlign w:val="center"/>
                </w:tcPr>
                <w:p>
                  <w:pPr>
                    <w:pStyle w:val="98"/>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6" w:type="dxa"/>
                  <w:vMerge w:val="continue"/>
                  <w:vAlign w:val="center"/>
                </w:tcPr>
                <w:p>
                  <w:pPr>
                    <w:pStyle w:val="98"/>
                    <w:rPr>
                      <w:color w:val="auto"/>
                    </w:rPr>
                  </w:pPr>
                </w:p>
              </w:tc>
              <w:tc>
                <w:tcPr>
                  <w:tcW w:w="652" w:type="dxa"/>
                  <w:vAlign w:val="center"/>
                </w:tcPr>
                <w:p>
                  <w:pPr>
                    <w:pStyle w:val="98"/>
                    <w:rPr>
                      <w:color w:val="auto"/>
                    </w:rPr>
                  </w:pPr>
                  <w:r>
                    <w:rPr>
                      <w:rFonts w:hint="eastAsia"/>
                      <w:color w:val="auto"/>
                    </w:rPr>
                    <w:t>无组织</w:t>
                  </w:r>
                </w:p>
              </w:tc>
              <w:tc>
                <w:tcPr>
                  <w:tcW w:w="835" w:type="dxa"/>
                  <w:vAlign w:val="center"/>
                </w:tcPr>
                <w:p>
                  <w:pPr>
                    <w:pStyle w:val="98"/>
                    <w:rPr>
                      <w:color w:val="auto"/>
                    </w:rPr>
                  </w:pPr>
                  <w:r>
                    <w:rPr>
                      <w:rFonts w:hint="eastAsia"/>
                      <w:color w:val="auto"/>
                    </w:rPr>
                    <w:t>厂界</w:t>
                  </w:r>
                </w:p>
              </w:tc>
              <w:tc>
                <w:tcPr>
                  <w:tcW w:w="1573" w:type="dxa"/>
                  <w:vAlign w:val="center"/>
                </w:tcPr>
                <w:p>
                  <w:pPr>
                    <w:pStyle w:val="98"/>
                    <w:rPr>
                      <w:rFonts w:hint="default" w:eastAsia="宋体"/>
                      <w:color w:val="auto"/>
                      <w:lang w:val="en-US" w:eastAsia="zh-CN"/>
                    </w:rPr>
                  </w:pPr>
                  <w:r>
                    <w:rPr>
                      <w:rFonts w:hint="eastAsia"/>
                      <w:color w:val="auto"/>
                    </w:rPr>
                    <w:t>非甲烷总烃</w:t>
                  </w:r>
                  <w:r>
                    <w:rPr>
                      <w:rFonts w:hint="eastAsia"/>
                      <w:color w:val="auto"/>
                      <w:lang w:eastAsia="zh-CN"/>
                    </w:rPr>
                    <w:t>、</w:t>
                  </w:r>
                  <w:r>
                    <w:rPr>
                      <w:rFonts w:hint="eastAsia"/>
                      <w:color w:val="auto"/>
                      <w:lang w:val="en-US" w:eastAsia="zh-CN"/>
                    </w:rPr>
                    <w:t>颗粒物、锡及其化合物</w:t>
                  </w:r>
                </w:p>
              </w:tc>
              <w:tc>
                <w:tcPr>
                  <w:tcW w:w="2884" w:type="dxa"/>
                  <w:vAlign w:val="center"/>
                </w:tcPr>
                <w:p>
                  <w:pPr>
                    <w:pStyle w:val="98"/>
                    <w:rPr>
                      <w:color w:val="auto"/>
                    </w:rPr>
                  </w:pPr>
                  <w:r>
                    <w:rPr>
                      <w:rFonts w:hint="eastAsia"/>
                      <w:color w:val="auto"/>
                      <w:lang w:val="en-US" w:eastAsia="zh-CN"/>
                    </w:rPr>
                    <w:t>厂房</w:t>
                  </w:r>
                  <w:r>
                    <w:rPr>
                      <w:rFonts w:hint="eastAsia"/>
                      <w:color w:val="auto"/>
                    </w:rPr>
                    <w:t>上风向1个，下风向3个</w:t>
                  </w:r>
                </w:p>
              </w:tc>
              <w:tc>
                <w:tcPr>
                  <w:tcW w:w="716" w:type="dxa"/>
                  <w:vAlign w:val="center"/>
                </w:tcPr>
                <w:p>
                  <w:pPr>
                    <w:pStyle w:val="98"/>
                    <w:rPr>
                      <w:color w:val="auto"/>
                    </w:rPr>
                  </w:pPr>
                  <w:r>
                    <w:rPr>
                      <w:color w:val="auto"/>
                    </w:rPr>
                    <w:t>一次/</w:t>
                  </w:r>
                  <w:r>
                    <w:rPr>
                      <w:rFonts w:hint="eastAsia"/>
                      <w:color w:val="auto"/>
                    </w:rPr>
                    <w:t>年</w:t>
                  </w:r>
                </w:p>
              </w:tc>
              <w:tc>
                <w:tcPr>
                  <w:tcW w:w="1382" w:type="dxa"/>
                  <w:vMerge w:val="continue"/>
                  <w:vAlign w:val="center"/>
                </w:tcPr>
                <w:p>
                  <w:pPr>
                    <w:pStyle w:val="98"/>
                    <w:rPr>
                      <w:color w:val="auto"/>
                    </w:rPr>
                  </w:pPr>
                </w:p>
              </w:tc>
            </w:tr>
            <w:bookmarkEnd w:id="6"/>
          </w:tbl>
          <w:p>
            <w:pPr>
              <w:autoSpaceDE w:val="0"/>
              <w:autoSpaceDN w:val="0"/>
              <w:adjustRightInd w:val="0"/>
              <w:spacing w:line="360" w:lineRule="auto"/>
              <w:ind w:firstLine="480"/>
              <w:jc w:val="left"/>
              <w:rPr>
                <w:b/>
                <w:bCs/>
                <w:color w:val="auto"/>
                <w:sz w:val="24"/>
                <w:szCs w:val="32"/>
              </w:rPr>
            </w:pPr>
            <w:r>
              <w:rPr>
                <w:rFonts w:hint="eastAsia"/>
                <w:b/>
                <w:bCs/>
                <w:color w:val="auto"/>
                <w:sz w:val="24"/>
                <w:szCs w:val="32"/>
                <w:lang w:val="en-US" w:eastAsia="zh-CN"/>
              </w:rPr>
              <w:t>4、</w:t>
            </w:r>
            <w:r>
              <w:rPr>
                <w:b/>
                <w:bCs/>
                <w:color w:val="auto"/>
                <w:sz w:val="24"/>
                <w:szCs w:val="32"/>
              </w:rPr>
              <w:t>非正常工况</w:t>
            </w:r>
          </w:p>
          <w:p>
            <w:pPr>
              <w:pStyle w:val="98"/>
              <w:spacing w:line="360" w:lineRule="auto"/>
              <w:ind w:firstLine="480" w:firstLineChars="200"/>
              <w:jc w:val="both"/>
              <w:rPr>
                <w:color w:val="auto"/>
                <w:highlight w:val="none"/>
              </w:rPr>
            </w:pPr>
            <w:r>
              <w:rPr>
                <w:bCs/>
                <w:color w:val="auto"/>
                <w:sz w:val="24"/>
                <w:highlight w:val="none"/>
              </w:rPr>
              <w:t>本项目生产</w:t>
            </w:r>
            <w:r>
              <w:rPr>
                <w:rFonts w:hint="eastAsia"/>
                <w:bCs/>
                <w:color w:val="auto"/>
                <w:sz w:val="24"/>
                <w:highlight w:val="none"/>
                <w:lang w:val="en-US" w:eastAsia="zh-CN"/>
              </w:rPr>
              <w:t>特种玻璃</w:t>
            </w:r>
            <w:r>
              <w:rPr>
                <w:rFonts w:hint="eastAsia"/>
                <w:color w:val="auto"/>
                <w:sz w:val="24"/>
                <w:szCs w:val="24"/>
                <w:highlight w:val="none"/>
              </w:rPr>
              <w:t>，</w:t>
            </w:r>
            <w:r>
              <w:rPr>
                <w:color w:val="auto"/>
                <w:sz w:val="24"/>
                <w:szCs w:val="24"/>
                <w:highlight w:val="none"/>
              </w:rPr>
              <w:t>废气</w:t>
            </w:r>
            <w:r>
              <w:rPr>
                <w:rFonts w:hint="eastAsia"/>
                <w:color w:val="auto"/>
                <w:sz w:val="24"/>
                <w:szCs w:val="24"/>
                <w:highlight w:val="none"/>
                <w:lang w:val="en-US" w:eastAsia="zh-CN"/>
              </w:rPr>
              <w:t>经收集、降温后由</w:t>
            </w:r>
            <w:r>
              <w:rPr>
                <w:color w:val="auto"/>
                <w:sz w:val="24"/>
                <w:szCs w:val="24"/>
                <w:highlight w:val="none"/>
              </w:rPr>
              <w:t>“</w:t>
            </w:r>
            <w:r>
              <w:rPr>
                <w:rFonts w:hint="eastAsia"/>
                <w:color w:val="auto"/>
                <w:sz w:val="24"/>
                <w:szCs w:val="24"/>
                <w:highlight w:val="none"/>
                <w:lang w:val="en-US" w:eastAsia="zh-CN"/>
              </w:rPr>
              <w:t>过滤棉</w:t>
            </w:r>
            <w:r>
              <w:rPr>
                <w:color w:val="auto"/>
                <w:sz w:val="24"/>
                <w:szCs w:val="24"/>
                <w:highlight w:val="none"/>
              </w:rPr>
              <w:t>+</w:t>
            </w:r>
            <w:r>
              <w:rPr>
                <w:rFonts w:hint="eastAsia"/>
                <w:color w:val="auto"/>
                <w:sz w:val="24"/>
                <w:szCs w:val="24"/>
                <w:highlight w:val="none"/>
              </w:rPr>
              <w:t>二级</w:t>
            </w:r>
            <w:r>
              <w:rPr>
                <w:color w:val="auto"/>
                <w:sz w:val="24"/>
                <w:szCs w:val="24"/>
                <w:highlight w:val="none"/>
              </w:rPr>
              <w:t>活性炭吸附”处理</w:t>
            </w:r>
            <w:r>
              <w:rPr>
                <w:rFonts w:hint="eastAsia"/>
                <w:color w:val="auto"/>
                <w:sz w:val="24"/>
                <w:szCs w:val="32"/>
                <w:highlight w:val="none"/>
                <w:lang w:eastAsia="zh-CN"/>
              </w:rPr>
              <w:t>，</w:t>
            </w:r>
            <w:r>
              <w:rPr>
                <w:rFonts w:hint="eastAsia"/>
                <w:color w:val="auto"/>
                <w:sz w:val="24"/>
                <w:szCs w:val="32"/>
                <w:highlight w:val="none"/>
                <w:lang w:val="en-US" w:eastAsia="zh-CN"/>
              </w:rPr>
              <w:t>然后</w:t>
            </w:r>
            <w:r>
              <w:rPr>
                <w:rFonts w:hint="eastAsia"/>
                <w:color w:val="auto"/>
                <w:sz w:val="24"/>
                <w:szCs w:val="24"/>
                <w:highlight w:val="none"/>
              </w:rPr>
              <w:t>通过一根</w:t>
            </w:r>
            <w:r>
              <w:rPr>
                <w:rFonts w:hint="eastAsia"/>
                <w:color w:val="auto"/>
                <w:sz w:val="24"/>
                <w:szCs w:val="24"/>
                <w:highlight w:val="none"/>
                <w:lang w:val="en-US" w:eastAsia="zh-CN"/>
              </w:rPr>
              <w:t>2</w:t>
            </w:r>
            <w:r>
              <w:rPr>
                <w:color w:val="auto"/>
                <w:sz w:val="24"/>
                <w:szCs w:val="24"/>
                <w:highlight w:val="none"/>
              </w:rPr>
              <w:t>5m</w:t>
            </w:r>
            <w:r>
              <w:rPr>
                <w:rFonts w:hint="eastAsia"/>
                <w:color w:val="auto"/>
                <w:sz w:val="24"/>
                <w:szCs w:val="24"/>
                <w:highlight w:val="none"/>
              </w:rPr>
              <w:t>高的排气筒（D</w:t>
            </w:r>
            <w:r>
              <w:rPr>
                <w:color w:val="auto"/>
                <w:sz w:val="24"/>
                <w:szCs w:val="24"/>
                <w:highlight w:val="none"/>
              </w:rPr>
              <w:t>A001</w:t>
            </w:r>
            <w:r>
              <w:rPr>
                <w:rFonts w:hint="eastAsia"/>
                <w:color w:val="auto"/>
                <w:sz w:val="24"/>
                <w:szCs w:val="24"/>
                <w:highlight w:val="none"/>
              </w:rPr>
              <w:t>）排放</w:t>
            </w:r>
            <w:r>
              <w:rPr>
                <w:rFonts w:hint="eastAsia"/>
                <w:color w:val="auto"/>
                <w:sz w:val="24"/>
                <w:szCs w:val="24"/>
                <w:highlight w:val="none"/>
                <w:lang w:val="en-US" w:eastAsia="zh-CN"/>
              </w:rPr>
              <w:t>引至楼顶排放</w:t>
            </w:r>
            <w:r>
              <w:rPr>
                <w:rFonts w:hint="eastAsia"/>
                <w:color w:val="auto"/>
                <w:sz w:val="24"/>
                <w:szCs w:val="24"/>
                <w:highlight w:val="none"/>
                <w:lang w:eastAsia="zh-CN"/>
              </w:rPr>
              <w:t>。</w:t>
            </w:r>
            <w:r>
              <w:rPr>
                <w:rFonts w:hint="eastAsia"/>
                <w:color w:val="auto"/>
                <w:sz w:val="24"/>
                <w:szCs w:val="24"/>
                <w:highlight w:val="none"/>
              </w:rPr>
              <w:t>因此本项目非正常工况为</w:t>
            </w:r>
            <w:r>
              <w:rPr>
                <w:rFonts w:hint="eastAsia"/>
                <w:color w:val="auto"/>
                <w:sz w:val="24"/>
                <w:szCs w:val="24"/>
                <w:highlight w:val="none"/>
                <w:lang w:val="en-US" w:eastAsia="zh-CN"/>
              </w:rPr>
              <w:t>过滤棉</w:t>
            </w:r>
            <w:r>
              <w:rPr>
                <w:rFonts w:hint="eastAsia"/>
                <w:color w:val="auto"/>
                <w:sz w:val="24"/>
                <w:szCs w:val="24"/>
                <w:highlight w:val="none"/>
              </w:rPr>
              <w:t>、活性炭吸附箱失效，无法有效收集废气或无法有效处理颗粒物、非甲烷总烃</w:t>
            </w:r>
            <w:r>
              <w:rPr>
                <w:rFonts w:hint="eastAsia"/>
                <w:color w:val="auto"/>
                <w:sz w:val="24"/>
                <w:szCs w:val="24"/>
                <w:highlight w:val="none"/>
                <w:lang w:eastAsia="zh-CN"/>
              </w:rPr>
              <w:t>，</w:t>
            </w:r>
            <w:r>
              <w:rPr>
                <w:rFonts w:hint="eastAsia"/>
                <w:color w:val="auto"/>
                <w:sz w:val="24"/>
                <w:szCs w:val="24"/>
                <w:highlight w:val="none"/>
              </w:rPr>
              <w:t>从而发生非正常排放</w:t>
            </w:r>
            <w:r>
              <w:rPr>
                <w:color w:val="auto"/>
                <w:sz w:val="24"/>
                <w:szCs w:val="24"/>
                <w:highlight w:val="none"/>
              </w:rPr>
              <w:t>，一般一小时内可以恢复正常。一般性事故的非正常排放概率约3~5年1次，为小概率事件。非正常工况排放情况汇总见表4-</w:t>
            </w:r>
            <w:r>
              <w:rPr>
                <w:rFonts w:hint="eastAsia"/>
                <w:color w:val="auto"/>
                <w:sz w:val="24"/>
                <w:szCs w:val="24"/>
                <w:highlight w:val="none"/>
                <w:lang w:val="en-US" w:eastAsia="zh-CN"/>
              </w:rPr>
              <w:t>4</w:t>
            </w:r>
            <w:r>
              <w:rPr>
                <w:color w:val="auto"/>
                <w:sz w:val="24"/>
                <w:szCs w:val="24"/>
                <w:highlight w:val="none"/>
              </w:rPr>
              <w:t>，非正常工况排放量见表4-</w:t>
            </w:r>
            <w:r>
              <w:rPr>
                <w:rFonts w:hint="eastAsia"/>
                <w:color w:val="auto"/>
                <w:sz w:val="24"/>
                <w:szCs w:val="24"/>
                <w:highlight w:val="none"/>
                <w:lang w:val="en-US" w:eastAsia="zh-CN"/>
              </w:rPr>
              <w:t>5</w:t>
            </w:r>
            <w:r>
              <w:rPr>
                <w:color w:val="auto"/>
                <w:sz w:val="24"/>
                <w:szCs w:val="24"/>
                <w:highlight w:val="none"/>
              </w:rPr>
              <w:t>：</w:t>
            </w:r>
          </w:p>
          <w:p>
            <w:pPr>
              <w:pStyle w:val="98"/>
              <w:rPr>
                <w:b/>
                <w:bCs/>
                <w:color w:val="auto"/>
              </w:rPr>
            </w:pPr>
            <w:r>
              <w:rPr>
                <w:b/>
                <w:bCs/>
                <w:color w:val="auto"/>
              </w:rPr>
              <w:t>表4-</w:t>
            </w:r>
            <w:r>
              <w:rPr>
                <w:rFonts w:hint="eastAsia"/>
                <w:b/>
                <w:bCs/>
                <w:color w:val="auto"/>
                <w:lang w:val="en-US" w:eastAsia="zh-CN"/>
              </w:rPr>
              <w:t>4</w:t>
            </w:r>
            <w:r>
              <w:rPr>
                <w:b/>
                <w:bCs/>
                <w:color w:val="auto"/>
              </w:rPr>
              <w:t xml:space="preserve">    非正常工况排放情况</w:t>
            </w:r>
          </w:p>
          <w:tbl>
            <w:tblPr>
              <w:tblStyle w:val="2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38"/>
              <w:gridCol w:w="846"/>
              <w:gridCol w:w="1560"/>
              <w:gridCol w:w="35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pPr>
                    <w:pStyle w:val="98"/>
                    <w:rPr>
                      <w:color w:val="auto"/>
                    </w:rPr>
                  </w:pPr>
                  <w:r>
                    <w:rPr>
                      <w:color w:val="auto"/>
                    </w:rPr>
                    <w:t>非正常排放源</w:t>
                  </w:r>
                </w:p>
              </w:tc>
              <w:tc>
                <w:tcPr>
                  <w:tcW w:w="858" w:type="pct"/>
                  <w:vAlign w:val="center"/>
                </w:tcPr>
                <w:p>
                  <w:pPr>
                    <w:pStyle w:val="98"/>
                    <w:rPr>
                      <w:color w:val="auto"/>
                    </w:rPr>
                  </w:pPr>
                  <w:r>
                    <w:rPr>
                      <w:color w:val="auto"/>
                    </w:rPr>
                    <w:t>非正常排放原因</w:t>
                  </w:r>
                </w:p>
              </w:tc>
              <w:tc>
                <w:tcPr>
                  <w:tcW w:w="505" w:type="pct"/>
                  <w:vAlign w:val="center"/>
                </w:tcPr>
                <w:p>
                  <w:pPr>
                    <w:pStyle w:val="98"/>
                    <w:rPr>
                      <w:color w:val="auto"/>
                    </w:rPr>
                  </w:pPr>
                  <w:r>
                    <w:rPr>
                      <w:color w:val="auto"/>
                    </w:rPr>
                    <w:t>单次持续时间</w:t>
                  </w:r>
                </w:p>
              </w:tc>
              <w:tc>
                <w:tcPr>
                  <w:tcW w:w="931" w:type="pct"/>
                  <w:vAlign w:val="center"/>
                </w:tcPr>
                <w:p>
                  <w:pPr>
                    <w:pStyle w:val="98"/>
                    <w:rPr>
                      <w:color w:val="auto"/>
                    </w:rPr>
                  </w:pPr>
                  <w:r>
                    <w:rPr>
                      <w:color w:val="auto"/>
                    </w:rPr>
                    <w:t>发生概率</w:t>
                  </w:r>
                </w:p>
              </w:tc>
              <w:tc>
                <w:tcPr>
                  <w:tcW w:w="2130" w:type="pct"/>
                  <w:vAlign w:val="center"/>
                </w:tcPr>
                <w:p>
                  <w:pPr>
                    <w:pStyle w:val="98"/>
                    <w:rPr>
                      <w:color w:val="auto"/>
                    </w:rPr>
                  </w:pPr>
                  <w:r>
                    <w:rPr>
                      <w:color w:val="auto"/>
                    </w:rPr>
                    <w:t>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4" w:type="pct"/>
                  <w:vMerge w:val="restart"/>
                  <w:vAlign w:val="center"/>
                </w:tcPr>
                <w:p>
                  <w:pPr>
                    <w:pStyle w:val="98"/>
                    <w:rPr>
                      <w:color w:val="auto"/>
                    </w:rPr>
                  </w:pPr>
                  <w:r>
                    <w:rPr>
                      <w:color w:val="auto"/>
                    </w:rPr>
                    <w:t>DA001</w:t>
                  </w:r>
                </w:p>
              </w:tc>
              <w:tc>
                <w:tcPr>
                  <w:tcW w:w="858" w:type="pct"/>
                  <w:vAlign w:val="center"/>
                </w:tcPr>
                <w:p>
                  <w:pPr>
                    <w:pStyle w:val="98"/>
                    <w:rPr>
                      <w:color w:val="auto"/>
                    </w:rPr>
                  </w:pPr>
                  <w:r>
                    <w:rPr>
                      <w:rFonts w:hint="eastAsia"/>
                      <w:color w:val="auto"/>
                      <w:lang w:val="en-US" w:eastAsia="zh-CN"/>
                    </w:rPr>
                    <w:t>过滤棉</w:t>
                  </w:r>
                  <w:r>
                    <w:rPr>
                      <w:rFonts w:hint="eastAsia"/>
                      <w:color w:val="auto"/>
                    </w:rPr>
                    <w:t>失效</w:t>
                  </w:r>
                </w:p>
              </w:tc>
              <w:tc>
                <w:tcPr>
                  <w:tcW w:w="505" w:type="pct"/>
                  <w:vAlign w:val="center"/>
                </w:tcPr>
                <w:p>
                  <w:pPr>
                    <w:pStyle w:val="98"/>
                    <w:rPr>
                      <w:color w:val="auto"/>
                    </w:rPr>
                  </w:pPr>
                  <w:r>
                    <w:rPr>
                      <w:color w:val="auto"/>
                    </w:rPr>
                    <w:t>1h</w:t>
                  </w:r>
                </w:p>
              </w:tc>
              <w:tc>
                <w:tcPr>
                  <w:tcW w:w="931" w:type="pct"/>
                  <w:vAlign w:val="center"/>
                </w:tcPr>
                <w:p>
                  <w:pPr>
                    <w:pStyle w:val="98"/>
                    <w:rPr>
                      <w:color w:val="auto"/>
                    </w:rPr>
                  </w:pPr>
                  <w:r>
                    <w:rPr>
                      <w:color w:val="auto"/>
                    </w:rPr>
                    <w:t>约3~5年1次</w:t>
                  </w:r>
                </w:p>
              </w:tc>
              <w:tc>
                <w:tcPr>
                  <w:tcW w:w="2130" w:type="pct"/>
                  <w:vAlign w:val="center"/>
                </w:tcPr>
                <w:p>
                  <w:pPr>
                    <w:pStyle w:val="98"/>
                    <w:rPr>
                      <w:color w:val="auto"/>
                    </w:rPr>
                  </w:pPr>
                  <w:r>
                    <w:rPr>
                      <w:rFonts w:hint="eastAsia"/>
                      <w:color w:val="auto"/>
                    </w:rPr>
                    <w:t>停止生产，</w:t>
                  </w:r>
                  <w:r>
                    <w:rPr>
                      <w:color w:val="auto"/>
                    </w:rPr>
                    <w:t>检</w:t>
                  </w:r>
                  <w:r>
                    <w:rPr>
                      <w:rFonts w:hint="eastAsia"/>
                      <w:color w:val="auto"/>
                    </w:rPr>
                    <w:t>查</w:t>
                  </w:r>
                  <w:r>
                    <w:rPr>
                      <w:rFonts w:hint="eastAsia"/>
                      <w:color w:val="auto"/>
                      <w:lang w:val="en-US" w:eastAsia="zh-CN"/>
                    </w:rPr>
                    <w:t>故障原因，进行</w:t>
                  </w:r>
                  <w:r>
                    <w:rPr>
                      <w:rFonts w:hint="eastAsia"/>
                      <w:color w:val="auto"/>
                    </w:rPr>
                    <w:t>更换或维修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74" w:type="pct"/>
                  <w:vMerge w:val="continue"/>
                  <w:vAlign w:val="center"/>
                </w:tcPr>
                <w:p>
                  <w:pPr>
                    <w:pStyle w:val="98"/>
                    <w:rPr>
                      <w:color w:val="auto"/>
                    </w:rPr>
                  </w:pPr>
                </w:p>
              </w:tc>
              <w:tc>
                <w:tcPr>
                  <w:tcW w:w="858" w:type="pct"/>
                  <w:vAlign w:val="center"/>
                </w:tcPr>
                <w:p>
                  <w:pPr>
                    <w:pStyle w:val="98"/>
                    <w:rPr>
                      <w:color w:val="auto"/>
                    </w:rPr>
                  </w:pPr>
                  <w:r>
                    <w:rPr>
                      <w:rFonts w:hint="eastAsia"/>
                      <w:color w:val="auto"/>
                    </w:rPr>
                    <w:t>二级活性炭吸附箱失效</w:t>
                  </w:r>
                </w:p>
              </w:tc>
              <w:tc>
                <w:tcPr>
                  <w:tcW w:w="505" w:type="pct"/>
                  <w:vAlign w:val="center"/>
                </w:tcPr>
                <w:p>
                  <w:pPr>
                    <w:pStyle w:val="98"/>
                    <w:rPr>
                      <w:color w:val="auto"/>
                    </w:rPr>
                  </w:pPr>
                  <w:r>
                    <w:rPr>
                      <w:color w:val="auto"/>
                    </w:rPr>
                    <w:t>1h</w:t>
                  </w:r>
                </w:p>
              </w:tc>
              <w:tc>
                <w:tcPr>
                  <w:tcW w:w="931" w:type="pct"/>
                  <w:vAlign w:val="center"/>
                </w:tcPr>
                <w:p>
                  <w:pPr>
                    <w:pStyle w:val="98"/>
                    <w:rPr>
                      <w:color w:val="auto"/>
                    </w:rPr>
                  </w:pPr>
                  <w:r>
                    <w:rPr>
                      <w:color w:val="auto"/>
                    </w:rPr>
                    <w:t>约3~5年1次</w:t>
                  </w:r>
                </w:p>
              </w:tc>
              <w:tc>
                <w:tcPr>
                  <w:tcW w:w="2130" w:type="pct"/>
                  <w:vAlign w:val="center"/>
                </w:tcPr>
                <w:p>
                  <w:pPr>
                    <w:pStyle w:val="98"/>
                    <w:rPr>
                      <w:color w:val="auto"/>
                    </w:rPr>
                  </w:pPr>
                  <w:r>
                    <w:rPr>
                      <w:rFonts w:hint="eastAsia"/>
                      <w:color w:val="auto"/>
                    </w:rPr>
                    <w:t>停止生产，</w:t>
                  </w:r>
                  <w:r>
                    <w:rPr>
                      <w:color w:val="auto"/>
                    </w:rPr>
                    <w:t>检</w:t>
                  </w:r>
                  <w:r>
                    <w:rPr>
                      <w:rFonts w:hint="eastAsia"/>
                      <w:color w:val="auto"/>
                    </w:rPr>
                    <w:t>查活性炭是否需要更换；</w:t>
                  </w:r>
                </w:p>
              </w:tc>
            </w:tr>
          </w:tbl>
          <w:p>
            <w:pPr>
              <w:pStyle w:val="98"/>
              <w:ind w:firstLine="482"/>
              <w:rPr>
                <w:b/>
                <w:bCs/>
                <w:color w:val="auto"/>
              </w:rPr>
            </w:pPr>
            <w:r>
              <w:rPr>
                <w:b/>
                <w:bCs/>
                <w:color w:val="auto"/>
              </w:rPr>
              <w:t>表4-</w:t>
            </w:r>
            <w:r>
              <w:rPr>
                <w:rFonts w:hint="eastAsia"/>
                <w:b/>
                <w:bCs/>
                <w:color w:val="auto"/>
                <w:lang w:val="en-US" w:eastAsia="zh-CN"/>
              </w:rPr>
              <w:t>5</w:t>
            </w:r>
            <w:r>
              <w:rPr>
                <w:b/>
                <w:bCs/>
                <w:color w:val="auto"/>
              </w:rPr>
              <w:t xml:space="preserve">    项目非正常工况排放汇总表</w:t>
            </w:r>
          </w:p>
          <w:tbl>
            <w:tblPr>
              <w:tblStyle w:val="2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720"/>
              <w:gridCol w:w="2698"/>
              <w:gridCol w:w="227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pPr>
                    <w:pStyle w:val="98"/>
                    <w:rPr>
                      <w:color w:val="auto"/>
                    </w:rPr>
                  </w:pPr>
                  <w:r>
                    <w:rPr>
                      <w:color w:val="auto"/>
                    </w:rPr>
                    <w:t>污染源</w:t>
                  </w:r>
                </w:p>
              </w:tc>
              <w:tc>
                <w:tcPr>
                  <w:tcW w:w="1027" w:type="pct"/>
                  <w:vAlign w:val="center"/>
                </w:tcPr>
                <w:p>
                  <w:pPr>
                    <w:pStyle w:val="98"/>
                    <w:rPr>
                      <w:color w:val="auto"/>
                    </w:rPr>
                  </w:pPr>
                  <w:r>
                    <w:rPr>
                      <w:color w:val="auto"/>
                    </w:rPr>
                    <w:t>污染物</w:t>
                  </w:r>
                </w:p>
              </w:tc>
              <w:tc>
                <w:tcPr>
                  <w:tcW w:w="1611" w:type="pct"/>
                  <w:vAlign w:val="center"/>
                </w:tcPr>
                <w:p>
                  <w:pPr>
                    <w:pStyle w:val="98"/>
                    <w:rPr>
                      <w:color w:val="auto"/>
                    </w:rPr>
                  </w:pPr>
                  <w:r>
                    <w:rPr>
                      <w:color w:val="auto"/>
                    </w:rPr>
                    <w:t>排放速率</w:t>
                  </w:r>
                </w:p>
              </w:tc>
              <w:tc>
                <w:tcPr>
                  <w:tcW w:w="1358" w:type="pct"/>
                  <w:vAlign w:val="center"/>
                </w:tcPr>
                <w:p>
                  <w:pPr>
                    <w:pStyle w:val="98"/>
                    <w:rPr>
                      <w:color w:val="auto"/>
                    </w:rPr>
                  </w:pPr>
                  <w:r>
                    <w:rPr>
                      <w:color w:val="auto"/>
                    </w:rPr>
                    <w:t>净化效率%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3" w:type="pct"/>
                  <w:vMerge w:val="restart"/>
                  <w:vAlign w:val="center"/>
                </w:tcPr>
                <w:p>
                  <w:pPr>
                    <w:pStyle w:val="98"/>
                    <w:rPr>
                      <w:color w:val="auto"/>
                    </w:rPr>
                  </w:pPr>
                  <w:r>
                    <w:rPr>
                      <w:color w:val="auto"/>
                    </w:rPr>
                    <w:t>DA001</w:t>
                  </w:r>
                </w:p>
              </w:tc>
              <w:tc>
                <w:tcPr>
                  <w:tcW w:w="1027" w:type="pct"/>
                  <w:vAlign w:val="center"/>
                </w:tcPr>
                <w:p>
                  <w:pPr>
                    <w:pStyle w:val="98"/>
                    <w:rPr>
                      <w:color w:val="auto"/>
                    </w:rPr>
                  </w:pPr>
                  <w:r>
                    <w:rPr>
                      <w:rFonts w:hint="eastAsia"/>
                      <w:color w:val="auto"/>
                    </w:rPr>
                    <w:t>非甲烷总烃</w:t>
                  </w:r>
                </w:p>
              </w:tc>
              <w:tc>
                <w:tcPr>
                  <w:tcW w:w="1611" w:type="pct"/>
                  <w:vAlign w:val="center"/>
                </w:tcPr>
                <w:p>
                  <w:pPr>
                    <w:pStyle w:val="98"/>
                    <w:rPr>
                      <w:color w:val="auto"/>
                      <w:highlight w:val="red"/>
                    </w:rPr>
                  </w:pPr>
                  <w:r>
                    <w:rPr>
                      <w:rFonts w:hint="eastAsia"/>
                      <w:color w:val="auto"/>
                      <w:sz w:val="24"/>
                      <w:szCs w:val="32"/>
                      <w:lang w:val="en-US" w:eastAsia="zh-CN"/>
                    </w:rPr>
                    <w:t>7.3</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3</w:t>
                  </w:r>
                  <w:r>
                    <w:rPr>
                      <w:color w:val="auto"/>
                      <w:highlight w:val="none"/>
                    </w:rPr>
                    <w:t>kg/h</w:t>
                  </w:r>
                </w:p>
              </w:tc>
              <w:tc>
                <w:tcPr>
                  <w:tcW w:w="1358" w:type="pct"/>
                  <w:vAlign w:val="center"/>
                </w:tcPr>
                <w:p>
                  <w:pPr>
                    <w:pStyle w:val="98"/>
                    <w:rPr>
                      <w:color w:val="auto"/>
                    </w:rPr>
                  </w:pPr>
                  <w:r>
                    <w:rPr>
                      <w:color w:val="auto"/>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3" w:type="pct"/>
                  <w:vMerge w:val="continue"/>
                  <w:vAlign w:val="center"/>
                </w:tcPr>
                <w:p>
                  <w:pPr>
                    <w:pStyle w:val="98"/>
                    <w:rPr>
                      <w:color w:val="auto"/>
                    </w:rPr>
                  </w:pPr>
                </w:p>
              </w:tc>
              <w:tc>
                <w:tcPr>
                  <w:tcW w:w="1027" w:type="pct"/>
                  <w:vAlign w:val="center"/>
                </w:tcPr>
                <w:p>
                  <w:pPr>
                    <w:pStyle w:val="98"/>
                    <w:rPr>
                      <w:rFonts w:hint="eastAsia" w:eastAsia="宋体"/>
                      <w:color w:val="auto"/>
                      <w:lang w:val="en-US" w:eastAsia="zh-CN"/>
                    </w:rPr>
                  </w:pPr>
                  <w:r>
                    <w:rPr>
                      <w:rFonts w:hint="eastAsia"/>
                      <w:color w:val="auto"/>
                      <w:lang w:val="en-US" w:eastAsia="zh-CN"/>
                    </w:rPr>
                    <w:t>锡及其化合物</w:t>
                  </w:r>
                </w:p>
              </w:tc>
              <w:tc>
                <w:tcPr>
                  <w:tcW w:w="1611" w:type="pct"/>
                  <w:vAlign w:val="center"/>
                </w:tcPr>
                <w:p>
                  <w:pPr>
                    <w:pStyle w:val="98"/>
                    <w:rPr>
                      <w:rFonts w:hint="eastAsia"/>
                      <w:color w:val="auto"/>
                      <w:sz w:val="24"/>
                      <w:szCs w:val="32"/>
                      <w:lang w:val="en-US" w:eastAsia="zh-CN"/>
                    </w:rPr>
                  </w:pPr>
                  <w:r>
                    <w:rPr>
                      <w:rFonts w:hint="eastAsia"/>
                      <w:color w:val="auto"/>
                      <w:sz w:val="24"/>
                      <w:szCs w:val="32"/>
                      <w:lang w:val="en-US" w:eastAsia="zh-CN"/>
                    </w:rPr>
                    <w:t>1.93</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3</w:t>
                  </w:r>
                  <w:r>
                    <w:rPr>
                      <w:color w:val="auto"/>
                      <w:highlight w:val="none"/>
                    </w:rPr>
                    <w:t>kg/h</w:t>
                  </w:r>
                </w:p>
              </w:tc>
              <w:tc>
                <w:tcPr>
                  <w:tcW w:w="1358" w:type="pct"/>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03" w:type="pct"/>
                  <w:vMerge w:val="continue"/>
                  <w:vAlign w:val="center"/>
                </w:tcPr>
                <w:p>
                  <w:pPr>
                    <w:pStyle w:val="98"/>
                    <w:rPr>
                      <w:color w:val="auto"/>
                    </w:rPr>
                  </w:pPr>
                </w:p>
              </w:tc>
              <w:tc>
                <w:tcPr>
                  <w:tcW w:w="1027" w:type="pct"/>
                  <w:vAlign w:val="center"/>
                </w:tcPr>
                <w:p>
                  <w:pPr>
                    <w:pStyle w:val="98"/>
                    <w:rPr>
                      <w:rFonts w:hint="eastAsia" w:eastAsia="宋体"/>
                      <w:color w:val="auto"/>
                      <w:lang w:val="en-US" w:eastAsia="zh-CN"/>
                    </w:rPr>
                  </w:pPr>
                  <w:r>
                    <w:rPr>
                      <w:rFonts w:hint="eastAsia"/>
                      <w:color w:val="auto"/>
                      <w:lang w:val="en-US" w:eastAsia="zh-CN"/>
                    </w:rPr>
                    <w:t>颗粒物</w:t>
                  </w:r>
                </w:p>
              </w:tc>
              <w:tc>
                <w:tcPr>
                  <w:tcW w:w="1611" w:type="pct"/>
                  <w:vAlign w:val="center"/>
                </w:tcPr>
                <w:p>
                  <w:pPr>
                    <w:pStyle w:val="98"/>
                    <w:rPr>
                      <w:rFonts w:hint="eastAsia"/>
                      <w:color w:val="auto"/>
                      <w:highlight w:val="none"/>
                      <w:lang w:val="en-US" w:eastAsia="zh-CN"/>
                    </w:rPr>
                  </w:pPr>
                  <w:r>
                    <w:rPr>
                      <w:rFonts w:hint="eastAsia"/>
                      <w:color w:val="auto"/>
                      <w:sz w:val="24"/>
                      <w:szCs w:val="32"/>
                      <w:lang w:val="en-US" w:eastAsia="zh-CN"/>
                    </w:rPr>
                    <w:t>2.27</w:t>
                  </w:r>
                  <w:r>
                    <w:rPr>
                      <w:rFonts w:hint="eastAsia"/>
                      <w:color w:val="auto"/>
                      <w:sz w:val="24"/>
                      <w:szCs w:val="32"/>
                    </w:rPr>
                    <w:t>×1</w:t>
                  </w:r>
                  <w:r>
                    <w:rPr>
                      <w:color w:val="auto"/>
                      <w:sz w:val="24"/>
                      <w:szCs w:val="32"/>
                    </w:rPr>
                    <w:t>0</w:t>
                  </w:r>
                  <w:r>
                    <w:rPr>
                      <w:color w:val="auto"/>
                      <w:sz w:val="24"/>
                      <w:szCs w:val="32"/>
                      <w:vertAlign w:val="superscript"/>
                    </w:rPr>
                    <w:t>-</w:t>
                  </w:r>
                  <w:r>
                    <w:rPr>
                      <w:rFonts w:hint="eastAsia"/>
                      <w:color w:val="auto"/>
                      <w:sz w:val="24"/>
                      <w:szCs w:val="32"/>
                      <w:vertAlign w:val="superscript"/>
                      <w:lang w:val="en-US" w:eastAsia="zh-CN"/>
                    </w:rPr>
                    <w:t>3</w:t>
                  </w:r>
                  <w:r>
                    <w:rPr>
                      <w:color w:val="auto"/>
                      <w:highlight w:val="none"/>
                    </w:rPr>
                    <w:t>kg/h</w:t>
                  </w:r>
                </w:p>
              </w:tc>
              <w:tc>
                <w:tcPr>
                  <w:tcW w:w="1358" w:type="pct"/>
                  <w:vAlign w:val="center"/>
                </w:tcPr>
                <w:p>
                  <w:pPr>
                    <w:pStyle w:val="98"/>
                    <w:rPr>
                      <w:rFonts w:hint="eastAsia" w:eastAsia="宋体"/>
                      <w:color w:val="auto"/>
                      <w:lang w:val="en-US" w:eastAsia="zh-CN"/>
                    </w:rPr>
                  </w:pPr>
                  <w:r>
                    <w:rPr>
                      <w:rFonts w:hint="eastAsia"/>
                      <w:color w:val="auto"/>
                      <w:lang w:val="en-US" w:eastAsia="zh-CN"/>
                    </w:rPr>
                    <w:t>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建设单位定期对废气处理措施及其他环保设施进行</w:t>
            </w:r>
            <w:r>
              <w:rPr>
                <w:rFonts w:hint="eastAsia"/>
                <w:color w:val="auto"/>
                <w:sz w:val="24"/>
                <w:szCs w:val="32"/>
              </w:rPr>
              <w:t>检查</w:t>
            </w:r>
            <w:r>
              <w:rPr>
                <w:color w:val="auto"/>
                <w:sz w:val="24"/>
                <w:szCs w:val="32"/>
              </w:rPr>
              <w:t>，一旦发现设施运行异常，</w:t>
            </w:r>
            <w:r>
              <w:rPr>
                <w:rFonts w:hint="eastAsia"/>
                <w:color w:val="auto"/>
                <w:sz w:val="24"/>
                <w:szCs w:val="32"/>
              </w:rPr>
              <w:t>应立即维修</w:t>
            </w:r>
            <w:r>
              <w:rPr>
                <w:rFonts w:hint="eastAsia"/>
                <w:color w:val="auto"/>
                <w:sz w:val="24"/>
                <w:szCs w:val="32"/>
                <w:lang w:eastAsia="zh-CN"/>
              </w:rPr>
              <w:t>，</w:t>
            </w:r>
            <w:r>
              <w:rPr>
                <w:rFonts w:hint="eastAsia"/>
                <w:color w:val="auto"/>
                <w:sz w:val="24"/>
                <w:szCs w:val="32"/>
                <w:lang w:val="en-US" w:eastAsia="zh-CN"/>
              </w:rPr>
              <w:t>尤其是二级活性炭吸附装置，根据每次例行监测数据分析是否需要更换活性炭，确保有机废气能够有效处理。</w:t>
            </w:r>
            <w:r>
              <w:rPr>
                <w:color w:val="auto"/>
                <w:sz w:val="24"/>
                <w:szCs w:val="32"/>
              </w:rPr>
              <w:t>非正常工况下应停止生产，迅速检修或更换，待废气处理设施运行正常后恢复生产。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lang w:val="en-US" w:eastAsia="zh-CN"/>
              </w:rPr>
              <w:t>5、</w:t>
            </w:r>
            <w:r>
              <w:rPr>
                <w:b/>
                <w:bCs/>
                <w:color w:val="auto"/>
                <w:sz w:val="24"/>
                <w:szCs w:val="32"/>
              </w:rPr>
              <w:t>废气</w:t>
            </w:r>
            <w:r>
              <w:rPr>
                <w:rFonts w:hint="eastAsia"/>
                <w:b/>
                <w:bCs/>
                <w:color w:val="auto"/>
                <w:sz w:val="24"/>
                <w:szCs w:val="32"/>
              </w:rPr>
              <w:t>措施可行性分析及排放达标分析</w:t>
            </w:r>
          </w:p>
          <w:p>
            <w:pPr>
              <w:spacing w:line="360" w:lineRule="auto"/>
              <w:ind w:firstLine="480"/>
              <w:rPr>
                <w:color w:val="auto"/>
                <w:sz w:val="24"/>
                <w:szCs w:val="24"/>
                <w:u w:val="none"/>
              </w:rPr>
            </w:pPr>
            <w:r>
              <w:rPr>
                <w:rFonts w:hint="eastAsia"/>
                <w:color w:val="auto"/>
                <w:sz w:val="24"/>
                <w:szCs w:val="24"/>
                <w:u w:val="none"/>
              </w:rPr>
              <w:t>回流焊</w:t>
            </w:r>
            <w:r>
              <w:rPr>
                <w:rFonts w:hint="eastAsia"/>
                <w:color w:val="auto"/>
                <w:sz w:val="24"/>
                <w:szCs w:val="24"/>
                <w:u w:val="none"/>
                <w:lang w:eastAsia="zh-CN"/>
              </w:rPr>
              <w:t>、</w:t>
            </w:r>
            <w:r>
              <w:rPr>
                <w:rFonts w:hint="eastAsia"/>
                <w:color w:val="auto"/>
                <w:sz w:val="24"/>
                <w:szCs w:val="24"/>
                <w:u w:val="none"/>
                <w:lang w:val="en-US" w:eastAsia="zh-CN"/>
              </w:rPr>
              <w:t>非高压热压夹层机</w:t>
            </w:r>
            <w:r>
              <w:rPr>
                <w:rFonts w:hint="eastAsia"/>
                <w:color w:val="auto"/>
                <w:sz w:val="24"/>
                <w:szCs w:val="24"/>
                <w:u w:val="none"/>
              </w:rPr>
              <w:t>废气温度较高应经降温预处理后废气通过过滤棉过滤含有重金属的粉尘，经过滤处理后的废气进入二级活性炭吸附处理设备处理非甲烷总烃。本项目废气中各污染物浓度较低，废气中主要是焊接烟尘和非甲烷总烃，其中焊接烟尘一般粒径在1</w:t>
            </w:r>
            <w:r>
              <w:rPr>
                <w:color w:val="auto"/>
                <w:sz w:val="24"/>
                <w:szCs w:val="24"/>
                <w:u w:val="none"/>
              </w:rPr>
              <w:t>μm</w:t>
            </w:r>
            <w:r>
              <w:rPr>
                <w:rFonts w:hint="eastAsia"/>
                <w:color w:val="auto"/>
                <w:sz w:val="24"/>
                <w:szCs w:val="24"/>
                <w:u w:val="none"/>
              </w:rPr>
              <w:t>以上，本项目过滤棉选择亚高效过滤棉，参考《空气过滤器》（G</w:t>
            </w:r>
            <w:r>
              <w:rPr>
                <w:color w:val="auto"/>
                <w:sz w:val="24"/>
                <w:szCs w:val="24"/>
                <w:u w:val="none"/>
              </w:rPr>
              <w:t>B/T14295-2008</w:t>
            </w:r>
            <w:r>
              <w:rPr>
                <w:rFonts w:hint="eastAsia"/>
                <w:color w:val="auto"/>
                <w:sz w:val="24"/>
                <w:szCs w:val="24"/>
                <w:u w:val="none"/>
              </w:rPr>
              <w:t>）亚高效过滤器额定风量下针对粒径0</w:t>
            </w:r>
            <w:r>
              <w:rPr>
                <w:color w:val="auto"/>
                <w:sz w:val="24"/>
                <w:szCs w:val="24"/>
                <w:u w:val="none"/>
              </w:rPr>
              <w:t>.5μm</w:t>
            </w:r>
            <w:r>
              <w:rPr>
                <w:rFonts w:hint="eastAsia"/>
                <w:color w:val="auto"/>
                <w:sz w:val="24"/>
                <w:szCs w:val="24"/>
                <w:u w:val="none"/>
              </w:rPr>
              <w:t>以上的效率在9</w:t>
            </w:r>
            <w:r>
              <w:rPr>
                <w:rFonts w:hint="eastAsia"/>
                <w:color w:val="auto"/>
                <w:sz w:val="24"/>
                <w:szCs w:val="24"/>
                <w:u w:val="none"/>
                <w:lang w:val="en-US" w:eastAsia="zh-CN"/>
              </w:rPr>
              <w:t>0</w:t>
            </w:r>
            <w:r>
              <w:rPr>
                <w:rFonts w:hint="eastAsia"/>
                <w:color w:val="auto"/>
                <w:sz w:val="24"/>
                <w:szCs w:val="24"/>
                <w:u w:val="none"/>
              </w:rPr>
              <w:t>~</w:t>
            </w:r>
            <w:r>
              <w:rPr>
                <w:color w:val="auto"/>
                <w:sz w:val="24"/>
                <w:szCs w:val="24"/>
                <w:u w:val="none"/>
              </w:rPr>
              <w:t>99.9</w:t>
            </w:r>
            <w:r>
              <w:rPr>
                <w:rFonts w:hint="eastAsia"/>
                <w:color w:val="auto"/>
                <w:sz w:val="24"/>
                <w:szCs w:val="24"/>
                <w:u w:val="none"/>
              </w:rPr>
              <w:t>%，因此针对焊接烟尘去除效率满足本项目要求。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u w:val="none"/>
              </w:rPr>
            </w:pPr>
            <w:r>
              <w:rPr>
                <w:color w:val="auto"/>
                <w:sz w:val="24"/>
                <w:szCs w:val="24"/>
                <w:u w:val="none"/>
                <w:shd w:val="clear" w:color="auto" w:fill="FFFFFF"/>
              </w:rPr>
              <w:t>活性炭是一种多孔性的</w:t>
            </w:r>
            <w:r>
              <w:rPr>
                <w:rFonts w:hint="eastAsia"/>
                <w:color w:val="auto"/>
                <w:sz w:val="24"/>
                <w:szCs w:val="24"/>
                <w:u w:val="none"/>
                <w:shd w:val="clear" w:color="auto" w:fill="FFFFFF"/>
                <w:lang w:eastAsia="zh-CN"/>
              </w:rPr>
              <w:t>含碳物质，</w:t>
            </w:r>
            <w:r>
              <w:rPr>
                <w:color w:val="auto"/>
                <w:sz w:val="24"/>
                <w:szCs w:val="24"/>
                <w:u w:val="none"/>
                <w:shd w:val="clear" w:color="auto" w:fill="FFFFFF"/>
              </w:rPr>
              <w:t>它具有高度发达的孔隙构造</w:t>
            </w:r>
            <w:r>
              <w:rPr>
                <w:rFonts w:hint="eastAsia"/>
                <w:color w:val="auto"/>
                <w:sz w:val="24"/>
                <w:szCs w:val="24"/>
                <w:u w:val="none"/>
                <w:shd w:val="clear" w:color="auto" w:fill="FFFFFF"/>
                <w:lang w:eastAsia="zh-CN"/>
              </w:rPr>
              <w:t>，</w:t>
            </w:r>
            <w:r>
              <w:rPr>
                <w:color w:val="auto"/>
                <w:sz w:val="24"/>
                <w:szCs w:val="24"/>
                <w:u w:val="none"/>
                <w:shd w:val="clear" w:color="auto" w:fill="FFFFFF"/>
              </w:rPr>
              <w:t xml:space="preserve"> 活性炭的多孔结构为其提供了大量的表面积，能与气体（杂质）充分接触，从而赋予了活性炭所特有的吸附性能，使其非常容易达到吸收收集杂质的目的。</w:t>
            </w:r>
            <w:r>
              <w:rPr>
                <w:rFonts w:hint="eastAsia"/>
                <w:color w:val="auto"/>
                <w:sz w:val="24"/>
                <w:szCs w:val="24"/>
                <w:u w:val="none"/>
                <w:shd w:val="clear" w:color="auto" w:fill="FFFFFF"/>
                <w:lang w:eastAsia="zh-CN"/>
              </w:rPr>
              <w:t>就像</w:t>
            </w:r>
            <w:r>
              <w:rPr>
                <w:color w:val="auto"/>
                <w:sz w:val="24"/>
                <w:szCs w:val="24"/>
                <w:u w:val="none"/>
                <w:shd w:val="clear" w:color="auto" w:fill="FFFFFF"/>
              </w:rPr>
              <w:t>磁力一样，所有的分子之间都具有相互引力。正因为如此，活性炭孔壁上的大量的分子可以产生强大的引力，从而达到将有害的杂质吸引到孔径中的目的。但不是所有的活性炭都能吸附有害气体，只有当活性炭的</w:t>
            </w:r>
            <w:r>
              <w:rPr>
                <w:color w:val="auto"/>
                <w:sz w:val="24"/>
                <w:szCs w:val="24"/>
                <w:u w:val="none"/>
              </w:rPr>
              <w:fldChar w:fldCharType="begin"/>
            </w:r>
            <w:r>
              <w:rPr>
                <w:color w:val="auto"/>
                <w:sz w:val="24"/>
                <w:szCs w:val="24"/>
                <w:u w:val="none"/>
              </w:rPr>
              <w:instrText xml:space="preserve"> HYPERLINK "https://www.baidu.com/s?wd=%E5%AD%94%E9%9A%99%E7%BB%93%E6%9E%84&amp;tn=SE_PcZhidaonwhc_ngpagmjz&amp;rsv_dl=gh_pc_zhidao" \t "_blank" </w:instrText>
            </w:r>
            <w:r>
              <w:rPr>
                <w:color w:val="auto"/>
                <w:sz w:val="24"/>
                <w:szCs w:val="24"/>
                <w:u w:val="none"/>
              </w:rPr>
              <w:fldChar w:fldCharType="separate"/>
            </w:r>
            <w:r>
              <w:rPr>
                <w:rStyle w:val="35"/>
                <w:color w:val="auto"/>
                <w:sz w:val="24"/>
                <w:szCs w:val="24"/>
                <w:u w:val="none"/>
                <w:shd w:val="clear" w:color="auto" w:fill="FFFFFF"/>
              </w:rPr>
              <w:t>孔隙结构</w:t>
            </w:r>
            <w:r>
              <w:rPr>
                <w:color w:val="auto"/>
                <w:sz w:val="24"/>
                <w:szCs w:val="24"/>
                <w:u w:val="none"/>
              </w:rPr>
              <w:fldChar w:fldCharType="end"/>
            </w:r>
            <w:r>
              <w:rPr>
                <w:color w:val="auto"/>
                <w:sz w:val="24"/>
                <w:szCs w:val="24"/>
                <w:u w:val="none"/>
                <w:shd w:val="clear" w:color="auto" w:fill="FFFFFF"/>
              </w:rPr>
              <w:t>略大于有害气体分子的直径，能够让有害气体分子完全进入的情况下（过大或过小都不行）才能达到最佳吸附效果。</w:t>
            </w:r>
            <w:r>
              <w:rPr>
                <w:rFonts w:hint="eastAsia"/>
                <w:color w:val="auto"/>
                <w:sz w:val="24"/>
                <w:szCs w:val="24"/>
                <w:u w:val="none"/>
              </w:rPr>
              <w:t>本项目活性炭吸附选择蜂窝网状活性炭，吸附处理可有效去除废气中非甲烷总烃。根据《2020年挥发性有机物攻坚治理方案》（环大气〔2020〕33号）本项目选择碘值不低于</w:t>
            </w:r>
            <w:r>
              <w:rPr>
                <w:color w:val="auto"/>
                <w:sz w:val="24"/>
                <w:szCs w:val="24"/>
                <w:u w:val="none"/>
              </w:rPr>
              <w:t>800毫克/克的活性炭</w:t>
            </w:r>
            <w:r>
              <w:rPr>
                <w:rFonts w:hint="eastAsia"/>
                <w:color w:val="auto"/>
                <w:sz w:val="24"/>
                <w:szCs w:val="24"/>
                <w:u w:val="none"/>
              </w:rPr>
              <w:t>，环评要求建设单位在设计及运营过程中严格按照《吸附法工业有机废气治理工程技术规范》（H</w:t>
            </w:r>
            <w:r>
              <w:rPr>
                <w:color w:val="auto"/>
                <w:sz w:val="24"/>
                <w:szCs w:val="24"/>
                <w:u w:val="none"/>
              </w:rPr>
              <w:t>J2026-2013</w:t>
            </w:r>
            <w:r>
              <w:rPr>
                <w:rFonts w:hint="eastAsia"/>
                <w:color w:val="auto"/>
                <w:sz w:val="24"/>
                <w:szCs w:val="24"/>
                <w:u w:val="none"/>
              </w:rPr>
              <w:t>）中设计要求。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highlight w:val="none"/>
              </w:rPr>
            </w:pPr>
            <w:r>
              <w:rPr>
                <w:rFonts w:hint="eastAsia"/>
                <w:color w:val="auto"/>
                <w:sz w:val="24"/>
                <w:szCs w:val="32"/>
                <w:highlight w:val="none"/>
              </w:rPr>
              <w:t>非甲烷总烃</w:t>
            </w:r>
            <w:r>
              <w:rPr>
                <w:rFonts w:hint="eastAsia"/>
                <w:color w:val="auto"/>
                <w:sz w:val="24"/>
                <w:szCs w:val="24"/>
                <w:highlight w:val="none"/>
              </w:rPr>
              <w:t>经处理后有组织</w:t>
            </w:r>
            <w:r>
              <w:rPr>
                <w:rFonts w:hint="eastAsia"/>
                <w:color w:val="auto"/>
                <w:sz w:val="24"/>
                <w:szCs w:val="24"/>
              </w:rPr>
              <w:t>排放量为</w:t>
            </w:r>
            <w:r>
              <w:rPr>
                <w:rFonts w:hint="eastAsia"/>
                <w:color w:val="auto"/>
                <w:sz w:val="24"/>
                <w:szCs w:val="24"/>
                <w:lang w:val="en-US" w:eastAsia="zh-CN"/>
              </w:rPr>
              <w:t>4.41kg</w:t>
            </w:r>
            <w:r>
              <w:rPr>
                <w:color w:val="auto"/>
                <w:sz w:val="24"/>
                <w:szCs w:val="24"/>
              </w:rPr>
              <w:t>/a</w:t>
            </w:r>
            <w:r>
              <w:rPr>
                <w:rFonts w:hint="eastAsia"/>
                <w:color w:val="auto"/>
                <w:sz w:val="24"/>
                <w:szCs w:val="24"/>
              </w:rPr>
              <w:t>，排放速率为</w:t>
            </w:r>
            <w:r>
              <w:rPr>
                <w:rFonts w:hint="eastAsia"/>
                <w:color w:val="auto"/>
                <w:sz w:val="24"/>
                <w:szCs w:val="24"/>
                <w:lang w:val="en-US" w:eastAsia="zh-CN"/>
              </w:rPr>
              <w:t>1.84</w:t>
            </w:r>
            <w:r>
              <w:rPr>
                <w:rFonts w:hint="eastAsia"/>
                <w:color w:val="auto"/>
                <w:sz w:val="24"/>
                <w:szCs w:val="24"/>
              </w:rPr>
              <w:t>×1</w:t>
            </w:r>
            <w:r>
              <w:rPr>
                <w:color w:val="auto"/>
                <w:sz w:val="24"/>
                <w:szCs w:val="24"/>
              </w:rPr>
              <w:t>0</w:t>
            </w:r>
            <w:r>
              <w:rPr>
                <w:color w:val="auto"/>
                <w:sz w:val="24"/>
                <w:szCs w:val="24"/>
                <w:vertAlign w:val="superscript"/>
              </w:rPr>
              <w:t>-</w:t>
            </w:r>
            <w:r>
              <w:rPr>
                <w:rFonts w:hint="eastAsia"/>
                <w:color w:val="auto"/>
                <w:sz w:val="24"/>
                <w:szCs w:val="24"/>
                <w:vertAlign w:val="superscript"/>
                <w:lang w:val="en-US" w:eastAsia="zh-CN"/>
              </w:rPr>
              <w:t>3</w:t>
            </w:r>
            <w:r>
              <w:rPr>
                <w:color w:val="auto"/>
                <w:sz w:val="24"/>
                <w:szCs w:val="24"/>
              </w:rPr>
              <w:t>kg/h</w:t>
            </w:r>
            <w:r>
              <w:rPr>
                <w:rFonts w:hint="eastAsia"/>
                <w:color w:val="auto"/>
                <w:sz w:val="24"/>
                <w:szCs w:val="24"/>
                <w:highlight w:val="none"/>
              </w:rPr>
              <w:t>＜</w:t>
            </w:r>
            <w:r>
              <w:rPr>
                <w:rFonts w:hint="eastAsia"/>
                <w:color w:val="auto"/>
                <w:sz w:val="24"/>
                <w:szCs w:val="24"/>
                <w:highlight w:val="none"/>
                <w:lang w:val="en-US" w:eastAsia="zh-CN"/>
              </w:rPr>
              <w:t>21.75kg/h</w:t>
            </w:r>
            <w:r>
              <w:rPr>
                <w:rFonts w:hint="eastAsia"/>
                <w:color w:val="auto"/>
                <w:sz w:val="24"/>
                <w:szCs w:val="24"/>
                <w:lang w:eastAsia="zh-CN"/>
              </w:rPr>
              <w:t>，</w:t>
            </w:r>
            <w:r>
              <w:rPr>
                <w:rFonts w:hint="eastAsia"/>
                <w:color w:val="auto"/>
                <w:sz w:val="24"/>
                <w:szCs w:val="24"/>
                <w:lang w:val="en-US" w:eastAsia="zh-CN"/>
              </w:rPr>
              <w:t>排放浓度为0.46mg/m</w:t>
            </w:r>
            <w:r>
              <w:rPr>
                <w:rFonts w:hint="eastAsia"/>
                <w:color w:val="auto"/>
                <w:sz w:val="24"/>
                <w:szCs w:val="24"/>
                <w:vertAlign w:val="superscript"/>
                <w:lang w:val="en-US" w:eastAsia="zh-CN"/>
              </w:rPr>
              <w:t>3</w:t>
            </w:r>
            <w:r>
              <w:rPr>
                <w:rFonts w:hint="eastAsia"/>
                <w:color w:val="auto"/>
                <w:sz w:val="24"/>
                <w:szCs w:val="24"/>
                <w:highlight w:val="none"/>
              </w:rPr>
              <w:t>＜</w:t>
            </w:r>
            <w:r>
              <w:rPr>
                <w:rFonts w:hint="eastAsia" w:cs="Times New Roman"/>
                <w:color w:val="auto"/>
                <w:sz w:val="24"/>
                <w:szCs w:val="24"/>
                <w:lang w:val="en-US" w:eastAsia="zh-CN"/>
              </w:rPr>
              <w:t>120mg/m</w:t>
            </w:r>
            <w:r>
              <w:rPr>
                <w:rFonts w:hint="eastAsia" w:cs="Times New Roman"/>
                <w:color w:val="auto"/>
                <w:sz w:val="24"/>
                <w:szCs w:val="24"/>
                <w:vertAlign w:val="superscript"/>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rPr>
              <w:t>经处理后有组织</w:t>
            </w:r>
            <w:r>
              <w:rPr>
                <w:rFonts w:hint="eastAsia"/>
                <w:color w:val="auto"/>
                <w:sz w:val="24"/>
                <w:szCs w:val="24"/>
              </w:rPr>
              <w:t>排放量为</w:t>
            </w:r>
            <w:r>
              <w:rPr>
                <w:rFonts w:hint="eastAsia"/>
                <w:color w:val="auto"/>
                <w:sz w:val="24"/>
                <w:szCs w:val="24"/>
                <w:lang w:val="en-US" w:eastAsia="zh-CN"/>
              </w:rPr>
              <w:t>0.49kg</w:t>
            </w:r>
            <w:r>
              <w:rPr>
                <w:color w:val="auto"/>
                <w:sz w:val="24"/>
                <w:szCs w:val="24"/>
              </w:rPr>
              <w:t>/a</w:t>
            </w:r>
            <w:r>
              <w:rPr>
                <w:rFonts w:hint="eastAsia"/>
                <w:color w:val="auto"/>
                <w:sz w:val="24"/>
                <w:szCs w:val="24"/>
              </w:rPr>
              <w:t>，排放速率为</w:t>
            </w:r>
            <w:r>
              <w:rPr>
                <w:rFonts w:hint="eastAsia"/>
                <w:color w:val="auto"/>
                <w:sz w:val="24"/>
                <w:szCs w:val="24"/>
                <w:lang w:val="en-US" w:eastAsia="zh-CN"/>
              </w:rPr>
              <w:t>2.0</w:t>
            </w:r>
            <w:r>
              <w:rPr>
                <w:rFonts w:hint="eastAsia"/>
                <w:color w:val="auto"/>
                <w:sz w:val="24"/>
                <w:szCs w:val="24"/>
              </w:rPr>
              <w:t>×1</w:t>
            </w:r>
            <w:r>
              <w:rPr>
                <w:color w:val="auto"/>
                <w:sz w:val="24"/>
                <w:szCs w:val="24"/>
              </w:rPr>
              <w:t>0</w:t>
            </w:r>
            <w:r>
              <w:rPr>
                <w:color w:val="auto"/>
                <w:sz w:val="24"/>
                <w:szCs w:val="24"/>
                <w:vertAlign w:val="superscript"/>
              </w:rPr>
              <w:t>-</w:t>
            </w:r>
            <w:r>
              <w:rPr>
                <w:rFonts w:hint="eastAsia"/>
                <w:color w:val="auto"/>
                <w:sz w:val="24"/>
                <w:szCs w:val="24"/>
                <w:vertAlign w:val="superscript"/>
                <w:lang w:val="en-US" w:eastAsia="zh-CN"/>
              </w:rPr>
              <w:t>4</w:t>
            </w:r>
            <w:r>
              <w:rPr>
                <w:color w:val="auto"/>
                <w:sz w:val="24"/>
                <w:szCs w:val="24"/>
              </w:rPr>
              <w:t>kg/h</w:t>
            </w:r>
            <w:r>
              <w:rPr>
                <w:rFonts w:hint="eastAsia"/>
                <w:color w:val="auto"/>
                <w:sz w:val="24"/>
                <w:szCs w:val="24"/>
                <w:highlight w:val="none"/>
              </w:rPr>
              <w:t>＜</w:t>
            </w:r>
            <w:r>
              <w:rPr>
                <w:rFonts w:hint="eastAsia"/>
                <w:color w:val="auto"/>
                <w:sz w:val="24"/>
                <w:szCs w:val="24"/>
                <w:highlight w:val="none"/>
                <w:lang w:val="en-US" w:eastAsia="zh-CN"/>
              </w:rPr>
              <w:t>8.7kg/h</w:t>
            </w:r>
            <w:r>
              <w:rPr>
                <w:rFonts w:hint="eastAsia"/>
                <w:color w:val="auto"/>
                <w:sz w:val="24"/>
                <w:szCs w:val="24"/>
                <w:lang w:eastAsia="zh-CN"/>
              </w:rPr>
              <w:t>，</w:t>
            </w:r>
            <w:r>
              <w:rPr>
                <w:rFonts w:hint="eastAsia"/>
                <w:color w:val="auto"/>
                <w:sz w:val="24"/>
                <w:szCs w:val="24"/>
                <w:lang w:val="en-US" w:eastAsia="zh-CN"/>
              </w:rPr>
              <w:t>排放浓度为0.051mg/m</w:t>
            </w:r>
            <w:r>
              <w:rPr>
                <w:rFonts w:hint="eastAsia"/>
                <w:color w:val="auto"/>
                <w:sz w:val="24"/>
                <w:szCs w:val="24"/>
                <w:vertAlign w:val="superscript"/>
                <w:lang w:val="en-US" w:eastAsia="zh-CN"/>
              </w:rPr>
              <w:t>3</w:t>
            </w:r>
            <w:r>
              <w:rPr>
                <w:rFonts w:hint="eastAsia"/>
                <w:color w:val="auto"/>
                <w:sz w:val="24"/>
                <w:szCs w:val="24"/>
                <w:highlight w:val="none"/>
              </w:rPr>
              <w:t>＜</w:t>
            </w:r>
            <w:r>
              <w:rPr>
                <w:rFonts w:hint="eastAsia" w:cs="Times New Roman"/>
                <w:color w:val="auto"/>
                <w:sz w:val="24"/>
                <w:szCs w:val="24"/>
                <w:lang w:val="en-US" w:eastAsia="zh-CN"/>
              </w:rPr>
              <w:t>120mg/m</w:t>
            </w:r>
            <w:r>
              <w:rPr>
                <w:rFonts w:hint="eastAsia" w:cs="Times New Roman"/>
                <w:color w:val="auto"/>
                <w:sz w:val="24"/>
                <w:szCs w:val="24"/>
                <w:vertAlign w:val="superscript"/>
                <w:lang w:val="en-US" w:eastAsia="zh-CN"/>
              </w:rPr>
              <w:t>3</w:t>
            </w:r>
            <w:r>
              <w:rPr>
                <w:rFonts w:hint="eastAsia"/>
                <w:color w:val="auto"/>
                <w:sz w:val="24"/>
                <w:szCs w:val="24"/>
                <w:highlight w:val="none"/>
                <w:lang w:eastAsia="zh-CN"/>
              </w:rPr>
              <w:t>；</w:t>
            </w:r>
            <w:r>
              <w:rPr>
                <w:rFonts w:hint="eastAsia"/>
                <w:color w:val="auto"/>
                <w:sz w:val="24"/>
                <w:szCs w:val="24"/>
                <w:lang w:val="en-US" w:eastAsia="zh-CN"/>
              </w:rPr>
              <w:t>锡及其化合物</w:t>
            </w:r>
            <w:r>
              <w:rPr>
                <w:rFonts w:hint="eastAsia"/>
                <w:color w:val="auto"/>
                <w:sz w:val="24"/>
                <w:szCs w:val="24"/>
              </w:rPr>
              <w:t>排放量为</w:t>
            </w:r>
            <w:r>
              <w:rPr>
                <w:rFonts w:hint="eastAsia"/>
                <w:color w:val="auto"/>
                <w:sz w:val="24"/>
                <w:szCs w:val="24"/>
                <w:lang w:val="en-US" w:eastAsia="zh-CN"/>
              </w:rPr>
              <w:t>0.416kg</w:t>
            </w:r>
            <w:r>
              <w:rPr>
                <w:color w:val="auto"/>
                <w:sz w:val="24"/>
                <w:szCs w:val="24"/>
              </w:rPr>
              <w:t>/a</w:t>
            </w:r>
            <w:r>
              <w:rPr>
                <w:rFonts w:hint="eastAsia"/>
                <w:color w:val="auto"/>
                <w:sz w:val="24"/>
                <w:szCs w:val="24"/>
              </w:rPr>
              <w:t>，排放速率为</w:t>
            </w:r>
            <w:r>
              <w:rPr>
                <w:rFonts w:hint="eastAsia"/>
                <w:color w:val="auto"/>
                <w:sz w:val="24"/>
                <w:szCs w:val="24"/>
                <w:lang w:val="en-US" w:eastAsia="zh-CN"/>
              </w:rPr>
              <w:t>1.73</w:t>
            </w:r>
            <w:r>
              <w:rPr>
                <w:rFonts w:hint="eastAsia"/>
                <w:color w:val="auto"/>
                <w:sz w:val="24"/>
                <w:szCs w:val="24"/>
              </w:rPr>
              <w:t>×1</w:t>
            </w:r>
            <w:r>
              <w:rPr>
                <w:color w:val="auto"/>
                <w:sz w:val="24"/>
                <w:szCs w:val="24"/>
              </w:rPr>
              <w:t>0</w:t>
            </w:r>
            <w:r>
              <w:rPr>
                <w:color w:val="auto"/>
                <w:sz w:val="24"/>
                <w:szCs w:val="24"/>
                <w:vertAlign w:val="superscript"/>
              </w:rPr>
              <w:t>-</w:t>
            </w:r>
            <w:r>
              <w:rPr>
                <w:rFonts w:hint="eastAsia"/>
                <w:color w:val="auto"/>
                <w:sz w:val="24"/>
                <w:szCs w:val="24"/>
                <w:vertAlign w:val="superscript"/>
                <w:lang w:val="en-US" w:eastAsia="zh-CN"/>
              </w:rPr>
              <w:t>4</w:t>
            </w:r>
            <w:r>
              <w:rPr>
                <w:color w:val="auto"/>
                <w:sz w:val="24"/>
                <w:szCs w:val="24"/>
              </w:rPr>
              <w:t>kg/h</w:t>
            </w:r>
            <w:r>
              <w:rPr>
                <w:rFonts w:hint="eastAsia"/>
                <w:color w:val="auto"/>
                <w:sz w:val="24"/>
                <w:szCs w:val="24"/>
                <w:highlight w:val="none"/>
              </w:rPr>
              <w:t>＜</w:t>
            </w:r>
            <w:r>
              <w:rPr>
                <w:rFonts w:hint="eastAsia"/>
                <w:color w:val="auto"/>
                <w:sz w:val="24"/>
                <w:szCs w:val="24"/>
                <w:highlight w:val="none"/>
                <w:lang w:val="en-US" w:eastAsia="zh-CN"/>
              </w:rPr>
              <w:t>0.58kg/h</w:t>
            </w:r>
            <w:r>
              <w:rPr>
                <w:rFonts w:hint="eastAsia"/>
                <w:color w:val="auto"/>
                <w:sz w:val="24"/>
                <w:szCs w:val="24"/>
                <w:lang w:eastAsia="zh-CN"/>
              </w:rPr>
              <w:t>，</w:t>
            </w:r>
            <w:r>
              <w:rPr>
                <w:rFonts w:hint="eastAsia"/>
                <w:color w:val="auto"/>
                <w:sz w:val="24"/>
                <w:szCs w:val="24"/>
                <w:lang w:val="en-US" w:eastAsia="zh-CN"/>
              </w:rPr>
              <w:t>排放浓度为0.043mg/m</w:t>
            </w:r>
            <w:r>
              <w:rPr>
                <w:rFonts w:hint="eastAsia"/>
                <w:color w:val="auto"/>
                <w:sz w:val="24"/>
                <w:szCs w:val="24"/>
                <w:vertAlign w:val="superscript"/>
                <w:lang w:val="en-US" w:eastAsia="zh-CN"/>
              </w:rPr>
              <w:t>3</w:t>
            </w:r>
            <w:r>
              <w:rPr>
                <w:rFonts w:hint="eastAsia"/>
                <w:color w:val="auto"/>
                <w:sz w:val="24"/>
                <w:szCs w:val="24"/>
                <w:highlight w:val="none"/>
              </w:rPr>
              <w:t>＜</w:t>
            </w:r>
            <w:r>
              <w:rPr>
                <w:rFonts w:hint="eastAsia" w:cs="Times New Roman"/>
                <w:color w:val="auto"/>
                <w:sz w:val="24"/>
                <w:szCs w:val="24"/>
                <w:lang w:val="en-US" w:eastAsia="zh-CN"/>
              </w:rPr>
              <w:t>8.5mg/m</w:t>
            </w:r>
            <w:r>
              <w:rPr>
                <w:rFonts w:hint="eastAsia" w:cs="Times New Roman"/>
                <w:color w:val="auto"/>
                <w:sz w:val="24"/>
                <w:szCs w:val="24"/>
                <w:vertAlign w:val="superscript"/>
                <w:lang w:val="en-US" w:eastAsia="zh-CN"/>
              </w:rPr>
              <w:t>3</w:t>
            </w:r>
            <w:r>
              <w:rPr>
                <w:rFonts w:hint="eastAsia"/>
                <w:color w:val="auto"/>
                <w:sz w:val="24"/>
                <w:szCs w:val="24"/>
              </w:rPr>
              <w:t>；</w:t>
            </w:r>
            <w:r>
              <w:rPr>
                <w:rFonts w:hint="eastAsia"/>
                <w:color w:val="auto"/>
                <w:sz w:val="24"/>
                <w:szCs w:val="32"/>
                <w:highlight w:val="none"/>
                <w:lang w:val="en-US" w:eastAsia="zh-CN"/>
              </w:rPr>
              <w:t>因此</w:t>
            </w:r>
            <w:r>
              <w:rPr>
                <w:rFonts w:hint="eastAsia"/>
                <w:color w:val="auto"/>
                <w:sz w:val="24"/>
                <w:szCs w:val="32"/>
                <w:highlight w:val="none"/>
              </w:rPr>
              <w:t>排放浓度符合</w:t>
            </w:r>
            <w:r>
              <w:rPr>
                <w:rFonts w:hint="eastAsia"/>
                <w:color w:val="auto"/>
                <w:sz w:val="24"/>
                <w:szCs w:val="32"/>
              </w:rPr>
              <w:t>《大气污染物综合排放标准》（G</w:t>
            </w:r>
            <w:r>
              <w:rPr>
                <w:color w:val="auto"/>
                <w:sz w:val="24"/>
                <w:szCs w:val="32"/>
              </w:rPr>
              <w:t>B16297-1996</w:t>
            </w:r>
            <w:r>
              <w:rPr>
                <w:rFonts w:hint="eastAsia"/>
                <w:color w:val="auto"/>
                <w:sz w:val="24"/>
                <w:szCs w:val="32"/>
              </w:rPr>
              <w:t>）中</w:t>
            </w:r>
            <w:r>
              <w:rPr>
                <w:color w:val="auto"/>
                <w:sz w:val="24"/>
                <w:szCs w:val="32"/>
              </w:rPr>
              <w:t>2</w:t>
            </w:r>
            <w:r>
              <w:rPr>
                <w:rFonts w:hint="eastAsia"/>
                <w:color w:val="auto"/>
                <w:sz w:val="24"/>
                <w:szCs w:val="32"/>
                <w:lang w:val="en-US" w:eastAsia="zh-CN"/>
              </w:rPr>
              <w:t>5</w:t>
            </w:r>
            <w:r>
              <w:rPr>
                <w:color w:val="auto"/>
                <w:sz w:val="24"/>
                <w:szCs w:val="32"/>
              </w:rPr>
              <w:t>m</w:t>
            </w:r>
            <w:r>
              <w:rPr>
                <w:rFonts w:hint="eastAsia"/>
                <w:color w:val="auto"/>
                <w:sz w:val="24"/>
                <w:szCs w:val="32"/>
              </w:rPr>
              <w:t>高排气筒的二级标准</w:t>
            </w:r>
            <w:r>
              <w:rPr>
                <w:rFonts w:hint="eastAsia"/>
                <w:color w:val="auto"/>
                <w:sz w:val="24"/>
                <w:szCs w:val="32"/>
                <w:highlight w:val="none"/>
              </w:rPr>
              <w:t>。</w:t>
            </w:r>
          </w:p>
          <w:p>
            <w:pPr>
              <w:adjustRightInd w:val="0"/>
              <w:snapToGrid w:val="0"/>
              <w:spacing w:line="360" w:lineRule="auto"/>
              <w:ind w:firstLine="482" w:firstLineChars="200"/>
              <w:jc w:val="left"/>
              <w:rPr>
                <w:b/>
                <w:bCs/>
                <w:color w:val="auto"/>
                <w:sz w:val="24"/>
              </w:rPr>
            </w:pPr>
            <w:r>
              <w:rPr>
                <w:rFonts w:hint="eastAsia"/>
                <w:b/>
                <w:bCs/>
                <w:color w:val="auto"/>
                <w:sz w:val="24"/>
                <w:lang w:val="en-US" w:eastAsia="zh-CN"/>
              </w:rPr>
              <w:t>2</w:t>
            </w:r>
            <w:r>
              <w:rPr>
                <w:b/>
                <w:bCs/>
                <w:color w:val="auto"/>
                <w:sz w:val="24"/>
              </w:rPr>
              <w:t>、废水</w:t>
            </w:r>
          </w:p>
          <w:p>
            <w:pPr>
              <w:adjustRightInd w:val="0"/>
              <w:snapToGrid w:val="0"/>
              <w:spacing w:line="360" w:lineRule="auto"/>
              <w:ind w:firstLine="482" w:firstLineChars="200"/>
              <w:jc w:val="left"/>
              <w:rPr>
                <w:b/>
                <w:color w:val="auto"/>
                <w:kern w:val="0"/>
                <w:sz w:val="24"/>
              </w:rPr>
            </w:pPr>
            <w:r>
              <w:rPr>
                <w:rFonts w:hint="eastAsia"/>
                <w:b/>
                <w:color w:val="auto"/>
                <w:kern w:val="0"/>
                <w:sz w:val="24"/>
                <w:lang w:eastAsia="zh-CN"/>
              </w:rPr>
              <w:t>（</w:t>
            </w:r>
            <w:r>
              <w:rPr>
                <w:rFonts w:hint="eastAsia"/>
                <w:b/>
                <w:color w:val="auto"/>
                <w:kern w:val="0"/>
                <w:sz w:val="24"/>
                <w:lang w:val="en-US" w:eastAsia="zh-CN"/>
              </w:rPr>
              <w:t>1</w:t>
            </w:r>
            <w:r>
              <w:rPr>
                <w:rFonts w:hint="eastAsia"/>
                <w:b/>
                <w:color w:val="auto"/>
                <w:kern w:val="0"/>
                <w:sz w:val="24"/>
                <w:lang w:eastAsia="zh-CN"/>
              </w:rPr>
              <w:t>）</w:t>
            </w:r>
            <w:r>
              <w:rPr>
                <w:b/>
                <w:color w:val="auto"/>
                <w:kern w:val="0"/>
                <w:sz w:val="24"/>
              </w:rPr>
              <w:t>废水产排情况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32"/>
              </w:rPr>
            </w:pPr>
            <w:r>
              <w:rPr>
                <w:rFonts w:hint="eastAsia"/>
                <w:color w:val="auto"/>
                <w:sz w:val="24"/>
                <w:szCs w:val="32"/>
              </w:rPr>
              <w:t>根据给排水分析，本项目运营期废水</w:t>
            </w:r>
            <w:r>
              <w:rPr>
                <w:rFonts w:hint="eastAsia"/>
                <w:color w:val="auto"/>
                <w:sz w:val="24"/>
                <w:szCs w:val="32"/>
                <w:lang w:val="en-US" w:eastAsia="zh-CN"/>
              </w:rPr>
              <w:t>仅</w:t>
            </w:r>
            <w:r>
              <w:rPr>
                <w:rFonts w:hint="eastAsia"/>
                <w:color w:val="auto"/>
                <w:sz w:val="24"/>
                <w:szCs w:val="32"/>
              </w:rPr>
              <w:t>生活污水，生活污水产生量为</w:t>
            </w:r>
            <w:r>
              <w:rPr>
                <w:rFonts w:hint="eastAsia"/>
                <w:color w:val="auto"/>
                <w:sz w:val="24"/>
                <w:szCs w:val="32"/>
                <w:lang w:val="en-US" w:eastAsia="zh-CN"/>
              </w:rPr>
              <w:t>0.53</w:t>
            </w:r>
            <w:r>
              <w:rPr>
                <w:color w:val="auto"/>
                <w:sz w:val="24"/>
                <w:szCs w:val="32"/>
              </w:rPr>
              <w:t>m</w:t>
            </w:r>
            <w:r>
              <w:rPr>
                <w:color w:val="auto"/>
                <w:sz w:val="24"/>
                <w:szCs w:val="32"/>
                <w:vertAlign w:val="superscript"/>
              </w:rPr>
              <w:t>3</w:t>
            </w:r>
            <w:r>
              <w:rPr>
                <w:rFonts w:hint="eastAsia"/>
                <w:color w:val="auto"/>
                <w:sz w:val="24"/>
                <w:szCs w:val="32"/>
              </w:rPr>
              <w:t>/d（</w:t>
            </w:r>
            <w:r>
              <w:rPr>
                <w:rFonts w:hint="eastAsia"/>
                <w:color w:val="auto"/>
                <w:sz w:val="24"/>
                <w:szCs w:val="32"/>
                <w:lang w:val="en-US" w:eastAsia="zh-CN"/>
              </w:rPr>
              <w:t>160</w:t>
            </w:r>
            <w:r>
              <w:rPr>
                <w:color w:val="auto"/>
                <w:sz w:val="24"/>
                <w:szCs w:val="32"/>
              </w:rPr>
              <w:t>m</w:t>
            </w:r>
            <w:r>
              <w:rPr>
                <w:color w:val="auto"/>
                <w:sz w:val="24"/>
                <w:szCs w:val="32"/>
                <w:vertAlign w:val="superscript"/>
              </w:rPr>
              <w:t>3</w:t>
            </w:r>
            <w:r>
              <w:rPr>
                <w:rFonts w:hint="eastAsia"/>
                <w:color w:val="auto"/>
                <w:sz w:val="24"/>
                <w:szCs w:val="32"/>
              </w:rPr>
              <w:t>/a），生活污水中主要污染物为</w:t>
            </w:r>
            <w:r>
              <w:rPr>
                <w:rFonts w:hint="eastAsia"/>
                <w:color w:val="auto"/>
                <w:sz w:val="24"/>
                <w:szCs w:val="32"/>
                <w:lang w:val="en-US" w:eastAsia="zh-CN"/>
              </w:rPr>
              <w:t>pH、</w:t>
            </w:r>
            <w:r>
              <w:rPr>
                <w:color w:val="auto"/>
                <w:sz w:val="24"/>
                <w:szCs w:val="32"/>
              </w:rPr>
              <w:t>COD</w:t>
            </w:r>
            <w:r>
              <w:rPr>
                <w:rFonts w:hint="eastAsia"/>
                <w:color w:val="auto"/>
                <w:sz w:val="24"/>
                <w:szCs w:val="32"/>
              </w:rPr>
              <w:t>、</w:t>
            </w:r>
            <w:r>
              <w:rPr>
                <w:color w:val="auto"/>
                <w:sz w:val="24"/>
                <w:szCs w:val="32"/>
              </w:rPr>
              <w:t>BOD</w:t>
            </w:r>
            <w:r>
              <w:rPr>
                <w:color w:val="auto"/>
                <w:sz w:val="24"/>
                <w:szCs w:val="32"/>
                <w:vertAlign w:val="subscript"/>
              </w:rPr>
              <w:t>5</w:t>
            </w:r>
            <w:r>
              <w:rPr>
                <w:rFonts w:hint="eastAsia"/>
                <w:color w:val="auto"/>
                <w:sz w:val="24"/>
                <w:szCs w:val="32"/>
              </w:rPr>
              <w:t>、氨氮、总氮、总磷等。生活污水依托</w:t>
            </w:r>
            <w:r>
              <w:rPr>
                <w:rFonts w:hint="eastAsia"/>
                <w:color w:val="auto"/>
                <w:sz w:val="24"/>
                <w:szCs w:val="32"/>
                <w:lang w:val="en-US" w:eastAsia="zh-CN"/>
              </w:rPr>
              <w:t>园区</w:t>
            </w:r>
            <w:r>
              <w:rPr>
                <w:rFonts w:hint="eastAsia"/>
                <w:color w:val="auto"/>
                <w:sz w:val="24"/>
                <w:szCs w:val="24"/>
                <w:lang w:val="en-US" w:eastAsia="zh-CN"/>
              </w:rPr>
              <w:t>化粪池预处理后排入市政污水管网进入泾河新城第二污水处理厂进行处理</w:t>
            </w:r>
            <w:r>
              <w:rPr>
                <w:rFonts w:hint="eastAsia"/>
                <w:color w:val="auto"/>
                <w:sz w:val="24"/>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32"/>
              </w:rPr>
            </w:pPr>
            <w:r>
              <w:rPr>
                <w:rFonts w:hint="eastAsia"/>
                <w:color w:val="auto"/>
                <w:sz w:val="24"/>
                <w:szCs w:val="32"/>
              </w:rPr>
              <w:t>生活污水污染物产生浓度参考《生活污染源产排污系数手册》（第二次全国污染源普查）中三区城镇生活污水浓度值（表</w:t>
            </w:r>
            <w:r>
              <w:rPr>
                <w:color w:val="auto"/>
                <w:sz w:val="24"/>
                <w:szCs w:val="32"/>
              </w:rPr>
              <w:t>6-3</w:t>
            </w:r>
            <w:r>
              <w:rPr>
                <w:rFonts w:hint="eastAsia"/>
                <w:color w:val="auto"/>
                <w:sz w:val="24"/>
                <w:szCs w:val="32"/>
              </w:rPr>
              <w:t>）。因此本项目废水污染源源强核算结果见表</w:t>
            </w:r>
            <w:r>
              <w:rPr>
                <w:color w:val="auto"/>
                <w:sz w:val="24"/>
                <w:szCs w:val="32"/>
              </w:rPr>
              <w:t>4-</w:t>
            </w:r>
            <w:r>
              <w:rPr>
                <w:rFonts w:hint="eastAsia"/>
                <w:color w:val="auto"/>
                <w:sz w:val="24"/>
                <w:szCs w:val="32"/>
                <w:lang w:val="en-US" w:eastAsia="zh-CN"/>
              </w:rPr>
              <w:t>6</w:t>
            </w:r>
            <w:r>
              <w:rPr>
                <w:rFonts w:hint="eastAsia"/>
                <w:color w:val="auto"/>
                <w:sz w:val="24"/>
                <w:szCs w:val="32"/>
              </w:rPr>
              <w:t>。</w:t>
            </w:r>
          </w:p>
          <w:p>
            <w:pPr>
              <w:pStyle w:val="98"/>
              <w:rPr>
                <w:b/>
                <w:bCs/>
                <w:color w:val="auto"/>
              </w:rPr>
            </w:pPr>
            <w:r>
              <w:rPr>
                <w:rFonts w:hint="eastAsia"/>
                <w:b/>
                <w:bCs/>
                <w:color w:val="auto"/>
              </w:rPr>
              <w:t>表</w:t>
            </w:r>
            <w:r>
              <w:rPr>
                <w:b/>
                <w:bCs/>
                <w:color w:val="auto"/>
              </w:rPr>
              <w:t>4-</w:t>
            </w:r>
            <w:r>
              <w:rPr>
                <w:rFonts w:hint="eastAsia"/>
                <w:b/>
                <w:bCs/>
                <w:color w:val="auto"/>
                <w:lang w:val="en-US" w:eastAsia="zh-CN"/>
              </w:rPr>
              <w:t>6</w:t>
            </w:r>
            <w:r>
              <w:rPr>
                <w:b/>
                <w:bCs/>
                <w:color w:val="auto"/>
              </w:rPr>
              <w:t xml:space="preserve">    </w:t>
            </w:r>
            <w:r>
              <w:rPr>
                <w:rFonts w:hint="eastAsia"/>
                <w:b/>
                <w:bCs/>
                <w:color w:val="auto"/>
              </w:rPr>
              <w:t>本项目污染源源强核算结果一览表</w:t>
            </w:r>
          </w:p>
          <w:tbl>
            <w:tblPr>
              <w:tblStyle w:val="29"/>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7"/>
              <w:gridCol w:w="731"/>
              <w:gridCol w:w="476"/>
              <w:gridCol w:w="666"/>
              <w:gridCol w:w="741"/>
              <w:gridCol w:w="924"/>
              <w:gridCol w:w="500"/>
              <w:gridCol w:w="617"/>
              <w:gridCol w:w="466"/>
              <w:gridCol w:w="634"/>
              <w:gridCol w:w="716"/>
              <w:gridCol w:w="907"/>
              <w:gridCol w:w="6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污染源</w:t>
                  </w:r>
                </w:p>
              </w:tc>
              <w:tc>
                <w:tcPr>
                  <w:tcW w:w="436"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污染物</w:t>
                  </w:r>
                </w:p>
              </w:tc>
              <w:tc>
                <w:tcPr>
                  <w:tcW w:w="1676" w:type="pct"/>
                  <w:gridSpan w:val="4"/>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污染物产生</w:t>
                  </w:r>
                </w:p>
              </w:tc>
              <w:tc>
                <w:tcPr>
                  <w:tcW w:w="667" w:type="pct"/>
                  <w:gridSpan w:val="2"/>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治理措施</w:t>
                  </w:r>
                </w:p>
              </w:tc>
              <w:tc>
                <w:tcPr>
                  <w:tcW w:w="1626" w:type="pct"/>
                  <w:gridSpan w:val="4"/>
                  <w:shd w:val="clear" w:color="auto" w:fill="auto"/>
                  <w:vAlign w:val="center"/>
                </w:tcPr>
                <w:p>
                  <w:pPr>
                    <w:widowControl/>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出水浓度</w:t>
                  </w:r>
                </w:p>
              </w:tc>
              <w:tc>
                <w:tcPr>
                  <w:tcW w:w="392"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排放时间</w:t>
                  </w:r>
                  <w:r>
                    <w:rPr>
                      <w:color w:val="auto"/>
                      <w:sz w:val="21"/>
                      <w:szCs w:val="21"/>
                    </w:rPr>
                    <w:t>/h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vMerge w:val="continue"/>
                  <w:vAlign w:val="center"/>
                </w:tcPr>
                <w:p>
                  <w:pPr>
                    <w:widowControl/>
                    <w:spacing w:line="240" w:lineRule="auto"/>
                    <w:ind w:firstLine="0" w:firstLineChars="0"/>
                    <w:jc w:val="left"/>
                    <w:rPr>
                      <w:color w:val="auto"/>
                      <w:sz w:val="21"/>
                      <w:szCs w:val="21"/>
                    </w:rPr>
                  </w:pPr>
                </w:p>
              </w:tc>
              <w:tc>
                <w:tcPr>
                  <w:tcW w:w="284"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核算方法</w:t>
                  </w:r>
                </w:p>
              </w:tc>
              <w:tc>
                <w:tcPr>
                  <w:tcW w:w="397"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废水量</w:t>
                  </w:r>
                  <w:r>
                    <w:rPr>
                      <w:color w:val="auto"/>
                      <w:sz w:val="21"/>
                      <w:szCs w:val="21"/>
                    </w:rPr>
                    <w:t>m</w:t>
                  </w:r>
                  <w:r>
                    <w:rPr>
                      <w:color w:val="auto"/>
                      <w:sz w:val="21"/>
                      <w:szCs w:val="21"/>
                      <w:vertAlign w:val="superscript"/>
                    </w:rPr>
                    <w:t>3</w:t>
                  </w:r>
                  <w:r>
                    <w:rPr>
                      <w:color w:val="auto"/>
                      <w:sz w:val="21"/>
                      <w:szCs w:val="21"/>
                    </w:rPr>
                    <w:t>/d</w:t>
                  </w:r>
                </w:p>
              </w:tc>
              <w:tc>
                <w:tcPr>
                  <w:tcW w:w="442"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产生浓度</w:t>
                  </w:r>
                  <w:r>
                    <w:rPr>
                      <w:color w:val="auto"/>
                      <w:sz w:val="21"/>
                      <w:szCs w:val="21"/>
                    </w:rPr>
                    <w:t>mg/L</w:t>
                  </w:r>
                </w:p>
              </w:tc>
              <w:tc>
                <w:tcPr>
                  <w:tcW w:w="551"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产生量</w:t>
                  </w:r>
                  <w:r>
                    <w:rPr>
                      <w:color w:val="auto"/>
                      <w:sz w:val="21"/>
                      <w:szCs w:val="21"/>
                    </w:rPr>
                    <w:t>t/a</w:t>
                  </w:r>
                </w:p>
              </w:tc>
              <w:tc>
                <w:tcPr>
                  <w:tcW w:w="298"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工艺</w:t>
                  </w:r>
                </w:p>
              </w:tc>
              <w:tc>
                <w:tcPr>
                  <w:tcW w:w="368"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效率</w:t>
                  </w:r>
                  <w:r>
                    <w:rPr>
                      <w:color w:val="auto"/>
                      <w:sz w:val="21"/>
                      <w:szCs w:val="21"/>
                    </w:rPr>
                    <w:t>%</w:t>
                  </w:r>
                </w:p>
              </w:tc>
              <w:tc>
                <w:tcPr>
                  <w:tcW w:w="278"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核算方法</w:t>
                  </w:r>
                </w:p>
              </w:tc>
              <w:tc>
                <w:tcPr>
                  <w:tcW w:w="378"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水量</w:t>
                  </w:r>
                  <w:r>
                    <w:rPr>
                      <w:color w:val="auto"/>
                      <w:sz w:val="21"/>
                      <w:szCs w:val="21"/>
                    </w:rPr>
                    <w:t>m</w:t>
                  </w:r>
                  <w:r>
                    <w:rPr>
                      <w:color w:val="auto"/>
                      <w:sz w:val="21"/>
                      <w:szCs w:val="21"/>
                      <w:vertAlign w:val="superscript"/>
                    </w:rPr>
                    <w:t>3</w:t>
                  </w:r>
                  <w:r>
                    <w:rPr>
                      <w:color w:val="auto"/>
                      <w:sz w:val="21"/>
                      <w:szCs w:val="21"/>
                    </w:rPr>
                    <w:t>/d</w:t>
                  </w:r>
                </w:p>
              </w:tc>
              <w:tc>
                <w:tcPr>
                  <w:tcW w:w="427"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浓度</w:t>
                  </w:r>
                  <w:r>
                    <w:rPr>
                      <w:color w:val="auto"/>
                      <w:sz w:val="21"/>
                      <w:szCs w:val="21"/>
                    </w:rPr>
                    <w:t>mg/L</w:t>
                  </w:r>
                </w:p>
              </w:tc>
              <w:tc>
                <w:tcPr>
                  <w:tcW w:w="541"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量</w:t>
                  </w:r>
                  <w:r>
                    <w:rPr>
                      <w:color w:val="auto"/>
                      <w:sz w:val="21"/>
                      <w:szCs w:val="21"/>
                    </w:rPr>
                    <w:t>t/a</w:t>
                  </w:r>
                </w:p>
              </w:tc>
              <w:tc>
                <w:tcPr>
                  <w:tcW w:w="392" w:type="pct"/>
                  <w:vMerge w:val="continue"/>
                  <w:vAlign w:val="center"/>
                </w:tcPr>
                <w:p>
                  <w:pPr>
                    <w:widowControl/>
                    <w:spacing w:line="240" w:lineRule="auto"/>
                    <w:ind w:firstLine="0" w:firstLineChars="0"/>
                    <w:jc w:val="left"/>
                    <w:rPr>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生活污水</w:t>
                  </w:r>
                </w:p>
              </w:tc>
              <w:tc>
                <w:tcPr>
                  <w:tcW w:w="436" w:type="pct"/>
                  <w:shd w:val="clear" w:color="auto" w:fill="auto"/>
                  <w:vAlign w:val="center"/>
                </w:tcPr>
                <w:p>
                  <w:pPr>
                    <w:widowControl/>
                    <w:spacing w:line="240" w:lineRule="auto"/>
                    <w:ind w:firstLine="0" w:firstLineChars="0"/>
                    <w:jc w:val="center"/>
                    <w:rPr>
                      <w:color w:val="auto"/>
                      <w:sz w:val="21"/>
                      <w:szCs w:val="21"/>
                    </w:rPr>
                  </w:pPr>
                  <w:r>
                    <w:rPr>
                      <w:color w:val="auto"/>
                      <w:sz w:val="21"/>
                      <w:szCs w:val="21"/>
                    </w:rPr>
                    <w:t>COD</w:t>
                  </w:r>
                </w:p>
              </w:tc>
              <w:tc>
                <w:tcPr>
                  <w:tcW w:w="284"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类比分析法</w:t>
                  </w:r>
                </w:p>
              </w:tc>
              <w:tc>
                <w:tcPr>
                  <w:tcW w:w="397" w:type="pct"/>
                  <w:vMerge w:val="restart"/>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0.53</w:t>
                  </w: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400</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0.0636 </w:t>
                  </w:r>
                </w:p>
              </w:tc>
              <w:tc>
                <w:tcPr>
                  <w:tcW w:w="29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化粪池</w:t>
                  </w: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27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eastAsia" w:ascii="宋体" w:hAnsi="宋体" w:eastAsia="宋体" w:cs="宋体"/>
                      <w:i w:val="0"/>
                      <w:iCs w:val="0"/>
                      <w:color w:val="auto"/>
                      <w:kern w:val="0"/>
                      <w:sz w:val="21"/>
                      <w:szCs w:val="21"/>
                      <w:u w:val="none"/>
                      <w:lang w:val="en-US" w:eastAsia="zh-CN" w:bidi="ar"/>
                    </w:rPr>
                    <w:t>物料衡算法</w:t>
                  </w:r>
                </w:p>
              </w:tc>
              <w:tc>
                <w:tcPr>
                  <w:tcW w:w="378"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0.53</w:t>
                  </w: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340</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0.0541 </w:t>
                  </w:r>
                </w:p>
              </w:tc>
              <w:tc>
                <w:tcPr>
                  <w:tcW w:w="392" w:type="pct"/>
                  <w:vMerge w:val="restar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lang w:val="en-US" w:eastAsia="zh-CN"/>
                    </w:rPr>
                    <w:t>240</w:t>
                  </w:r>
                  <w:r>
                    <w:rPr>
                      <w:color w:val="auto"/>
                      <w:sz w:val="21"/>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shd w:val="clear" w:color="auto" w:fill="auto"/>
                  <w:vAlign w:val="center"/>
                </w:tcPr>
                <w:p>
                  <w:pPr>
                    <w:overflowPunct w:val="0"/>
                    <w:spacing w:line="240" w:lineRule="auto"/>
                    <w:ind w:firstLine="0" w:firstLineChars="0"/>
                    <w:jc w:val="center"/>
                    <w:rPr>
                      <w:color w:val="auto"/>
                      <w:sz w:val="21"/>
                      <w:szCs w:val="21"/>
                    </w:rPr>
                  </w:pPr>
                  <w:r>
                    <w:rPr>
                      <w:color w:val="auto"/>
                      <w:sz w:val="21"/>
                      <w:szCs w:val="21"/>
                    </w:rPr>
                    <w:t>BOD</w:t>
                  </w:r>
                  <w:r>
                    <w:rPr>
                      <w:color w:val="auto"/>
                      <w:sz w:val="21"/>
                      <w:szCs w:val="21"/>
                      <w:vertAlign w:val="subscript"/>
                    </w:rPr>
                    <w:t>5</w:t>
                  </w:r>
                </w:p>
              </w:tc>
              <w:tc>
                <w:tcPr>
                  <w:tcW w:w="284" w:type="pct"/>
                  <w:vMerge w:val="continue"/>
                  <w:vAlign w:val="center"/>
                </w:tcPr>
                <w:p>
                  <w:pPr>
                    <w:widowControl/>
                    <w:spacing w:line="240" w:lineRule="auto"/>
                    <w:ind w:firstLine="0" w:firstLineChars="0"/>
                    <w:jc w:val="left"/>
                    <w:rPr>
                      <w:color w:val="auto"/>
                      <w:sz w:val="21"/>
                      <w:szCs w:val="21"/>
                    </w:rPr>
                  </w:pPr>
                </w:p>
              </w:tc>
              <w:tc>
                <w:tcPr>
                  <w:tcW w:w="397" w:type="pct"/>
                  <w:vMerge w:val="continue"/>
                  <w:vAlign w:val="center"/>
                </w:tcPr>
                <w:p>
                  <w:pPr>
                    <w:jc w:val="center"/>
                    <w:rPr>
                      <w:color w:val="auto"/>
                      <w:sz w:val="21"/>
                      <w:szCs w:val="21"/>
                    </w:rPr>
                  </w:pP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0.0318 </w:t>
                  </w:r>
                </w:p>
              </w:tc>
              <w:tc>
                <w:tcPr>
                  <w:tcW w:w="298" w:type="pct"/>
                  <w:vMerge w:val="continue"/>
                  <w:vAlign w:val="center"/>
                </w:tcPr>
                <w:p>
                  <w:pPr>
                    <w:jc w:val="center"/>
                    <w:rPr>
                      <w:rFonts w:hint="default" w:ascii="Times New Roman" w:hAnsi="Times New Roman" w:eastAsia="宋体" w:cs="Times New Roman"/>
                      <w:color w:val="auto"/>
                      <w:sz w:val="21"/>
                      <w:szCs w:val="21"/>
                    </w:rPr>
                  </w:pP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78" w:type="pct"/>
                  <w:vMerge w:val="continue"/>
                  <w:vAlign w:val="center"/>
                </w:tcPr>
                <w:p>
                  <w:pPr>
                    <w:jc w:val="center"/>
                    <w:rPr>
                      <w:rFonts w:hint="default" w:ascii="Times New Roman" w:hAnsi="Times New Roman" w:eastAsia="宋体" w:cs="Times New Roman"/>
                      <w:color w:val="auto"/>
                      <w:sz w:val="21"/>
                      <w:szCs w:val="21"/>
                    </w:rPr>
                  </w:pPr>
                </w:p>
              </w:tc>
              <w:tc>
                <w:tcPr>
                  <w:tcW w:w="378" w:type="pct"/>
                  <w:vMerge w:val="continue"/>
                  <w:vAlign w:val="center"/>
                </w:tcPr>
                <w:p>
                  <w:pPr>
                    <w:jc w:val="center"/>
                    <w:rPr>
                      <w:rFonts w:hint="default" w:ascii="Times New Roman" w:hAnsi="Times New Roman" w:eastAsia="宋体" w:cs="Times New Roman"/>
                      <w:color w:val="auto"/>
                      <w:sz w:val="21"/>
                      <w:szCs w:val="21"/>
                    </w:rPr>
                  </w:pP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160</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0.0254 </w:t>
                  </w:r>
                </w:p>
              </w:tc>
              <w:tc>
                <w:tcPr>
                  <w:tcW w:w="392" w:type="pct"/>
                  <w:vMerge w:val="continue"/>
                  <w:vAlign w:val="center"/>
                </w:tcPr>
                <w:p>
                  <w:pPr>
                    <w:widowControl/>
                    <w:spacing w:line="240" w:lineRule="auto"/>
                    <w:ind w:firstLine="0" w:firstLineChars="0"/>
                    <w:jc w:val="left"/>
                    <w:rPr>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SS</w:t>
                  </w:r>
                </w:p>
              </w:tc>
              <w:tc>
                <w:tcPr>
                  <w:tcW w:w="284" w:type="pct"/>
                  <w:vMerge w:val="continue"/>
                  <w:vAlign w:val="center"/>
                </w:tcPr>
                <w:p>
                  <w:pPr>
                    <w:widowControl/>
                    <w:spacing w:line="240" w:lineRule="auto"/>
                    <w:ind w:firstLine="0" w:firstLineChars="0"/>
                    <w:jc w:val="left"/>
                    <w:rPr>
                      <w:color w:val="auto"/>
                      <w:sz w:val="21"/>
                      <w:szCs w:val="21"/>
                    </w:rPr>
                  </w:pPr>
                </w:p>
              </w:tc>
              <w:tc>
                <w:tcPr>
                  <w:tcW w:w="397" w:type="pct"/>
                  <w:vMerge w:val="continue"/>
                  <w:vAlign w:val="center"/>
                </w:tcPr>
                <w:p>
                  <w:pPr>
                    <w:jc w:val="center"/>
                    <w:rPr>
                      <w:color w:val="auto"/>
                      <w:sz w:val="21"/>
                      <w:szCs w:val="21"/>
                    </w:rPr>
                  </w:pP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i w:val="0"/>
                      <w:iCs w:val="0"/>
                      <w:color w:val="auto"/>
                      <w:kern w:val="0"/>
                      <w:sz w:val="21"/>
                      <w:szCs w:val="21"/>
                      <w:u w:val="none"/>
                      <w:lang w:val="en-US" w:eastAsia="zh-CN" w:bidi="ar"/>
                    </w:rPr>
                    <w:t xml:space="preserve">0.0159 </w:t>
                  </w:r>
                </w:p>
              </w:tc>
              <w:tc>
                <w:tcPr>
                  <w:tcW w:w="298" w:type="pct"/>
                  <w:vMerge w:val="continue"/>
                  <w:vAlign w:val="center"/>
                </w:tcPr>
                <w:p>
                  <w:pPr>
                    <w:jc w:val="center"/>
                    <w:rPr>
                      <w:rFonts w:hint="default" w:ascii="Times New Roman" w:hAnsi="Times New Roman" w:eastAsia="宋体" w:cs="Times New Roman"/>
                      <w:color w:val="auto"/>
                      <w:sz w:val="21"/>
                      <w:szCs w:val="21"/>
                    </w:rPr>
                  </w:pP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60</w:t>
                  </w:r>
                </w:p>
              </w:tc>
              <w:tc>
                <w:tcPr>
                  <w:tcW w:w="278" w:type="pct"/>
                  <w:vMerge w:val="continue"/>
                  <w:vAlign w:val="center"/>
                </w:tcPr>
                <w:p>
                  <w:pPr>
                    <w:jc w:val="center"/>
                    <w:rPr>
                      <w:rFonts w:hint="default" w:ascii="Times New Roman" w:hAnsi="Times New Roman" w:eastAsia="宋体" w:cs="Times New Roman"/>
                      <w:color w:val="auto"/>
                      <w:sz w:val="21"/>
                      <w:szCs w:val="21"/>
                    </w:rPr>
                  </w:pPr>
                </w:p>
              </w:tc>
              <w:tc>
                <w:tcPr>
                  <w:tcW w:w="378" w:type="pct"/>
                  <w:vMerge w:val="continue"/>
                  <w:vAlign w:val="center"/>
                </w:tcPr>
                <w:p>
                  <w:pPr>
                    <w:jc w:val="center"/>
                    <w:rPr>
                      <w:rFonts w:hint="default" w:ascii="Times New Roman" w:hAnsi="Times New Roman" w:eastAsia="宋体" w:cs="Times New Roman"/>
                      <w:color w:val="auto"/>
                      <w:sz w:val="21"/>
                      <w:szCs w:val="21"/>
                    </w:rPr>
                  </w:pP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40</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0.0064 </w:t>
                  </w:r>
                </w:p>
              </w:tc>
              <w:tc>
                <w:tcPr>
                  <w:tcW w:w="392" w:type="pct"/>
                  <w:vMerge w:val="continue"/>
                  <w:vAlign w:val="center"/>
                </w:tcPr>
                <w:p>
                  <w:pPr>
                    <w:widowControl/>
                    <w:spacing w:line="240" w:lineRule="auto"/>
                    <w:ind w:firstLine="0" w:firstLineChars="0"/>
                    <w:jc w:val="left"/>
                    <w:rPr>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氨氮</w:t>
                  </w:r>
                </w:p>
              </w:tc>
              <w:tc>
                <w:tcPr>
                  <w:tcW w:w="284" w:type="pct"/>
                  <w:vMerge w:val="continue"/>
                  <w:vAlign w:val="center"/>
                </w:tcPr>
                <w:p>
                  <w:pPr>
                    <w:widowControl/>
                    <w:spacing w:line="240" w:lineRule="auto"/>
                    <w:ind w:firstLine="0" w:firstLineChars="0"/>
                    <w:jc w:val="left"/>
                    <w:rPr>
                      <w:color w:val="auto"/>
                      <w:sz w:val="21"/>
                      <w:szCs w:val="21"/>
                    </w:rPr>
                  </w:pPr>
                </w:p>
              </w:tc>
              <w:tc>
                <w:tcPr>
                  <w:tcW w:w="397" w:type="pct"/>
                  <w:vMerge w:val="continue"/>
                  <w:vAlign w:val="center"/>
                </w:tcPr>
                <w:p>
                  <w:pPr>
                    <w:jc w:val="center"/>
                    <w:rPr>
                      <w:color w:val="auto"/>
                      <w:sz w:val="21"/>
                      <w:szCs w:val="21"/>
                    </w:rPr>
                  </w:pP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40</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0.0064 </w:t>
                  </w:r>
                </w:p>
              </w:tc>
              <w:tc>
                <w:tcPr>
                  <w:tcW w:w="298" w:type="pct"/>
                  <w:vMerge w:val="continue"/>
                  <w:vAlign w:val="center"/>
                </w:tcPr>
                <w:p>
                  <w:pPr>
                    <w:jc w:val="center"/>
                    <w:rPr>
                      <w:rFonts w:hint="default" w:ascii="Times New Roman" w:hAnsi="Times New Roman" w:eastAsia="宋体" w:cs="Times New Roman"/>
                      <w:color w:val="auto"/>
                      <w:sz w:val="21"/>
                      <w:szCs w:val="21"/>
                    </w:rPr>
                  </w:pP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278" w:type="pct"/>
                  <w:vMerge w:val="continue"/>
                  <w:vAlign w:val="center"/>
                </w:tcPr>
                <w:p>
                  <w:pPr>
                    <w:jc w:val="center"/>
                    <w:rPr>
                      <w:rFonts w:hint="default" w:ascii="Times New Roman" w:hAnsi="Times New Roman" w:eastAsia="宋体" w:cs="Times New Roman"/>
                      <w:color w:val="auto"/>
                      <w:sz w:val="21"/>
                      <w:szCs w:val="21"/>
                    </w:rPr>
                  </w:pPr>
                </w:p>
              </w:tc>
              <w:tc>
                <w:tcPr>
                  <w:tcW w:w="378" w:type="pct"/>
                  <w:vMerge w:val="continue"/>
                  <w:vAlign w:val="center"/>
                </w:tcPr>
                <w:p>
                  <w:pPr>
                    <w:jc w:val="center"/>
                    <w:rPr>
                      <w:rFonts w:hint="default" w:ascii="Times New Roman" w:hAnsi="Times New Roman" w:eastAsia="宋体" w:cs="Times New Roman"/>
                      <w:color w:val="auto"/>
                      <w:sz w:val="21"/>
                      <w:szCs w:val="21"/>
                    </w:rPr>
                  </w:pP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38.8</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0.0062 </w:t>
                  </w:r>
                </w:p>
              </w:tc>
              <w:tc>
                <w:tcPr>
                  <w:tcW w:w="392" w:type="pct"/>
                  <w:vMerge w:val="continue"/>
                  <w:vAlign w:val="center"/>
                </w:tcPr>
                <w:p>
                  <w:pPr>
                    <w:widowControl/>
                    <w:spacing w:line="240" w:lineRule="auto"/>
                    <w:ind w:firstLine="0" w:firstLineChars="0"/>
                    <w:jc w:val="left"/>
                    <w:rPr>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总氮</w:t>
                  </w:r>
                </w:p>
              </w:tc>
              <w:tc>
                <w:tcPr>
                  <w:tcW w:w="284" w:type="pct"/>
                  <w:vMerge w:val="continue"/>
                  <w:vAlign w:val="center"/>
                </w:tcPr>
                <w:p>
                  <w:pPr>
                    <w:widowControl/>
                    <w:spacing w:line="240" w:lineRule="auto"/>
                    <w:ind w:firstLine="0" w:firstLineChars="0"/>
                    <w:jc w:val="left"/>
                    <w:rPr>
                      <w:color w:val="auto"/>
                      <w:sz w:val="21"/>
                      <w:szCs w:val="21"/>
                    </w:rPr>
                  </w:pPr>
                </w:p>
              </w:tc>
              <w:tc>
                <w:tcPr>
                  <w:tcW w:w="397" w:type="pct"/>
                  <w:vMerge w:val="continue"/>
                  <w:vAlign w:val="center"/>
                </w:tcPr>
                <w:p>
                  <w:pPr>
                    <w:jc w:val="center"/>
                    <w:rPr>
                      <w:color w:val="auto"/>
                      <w:sz w:val="21"/>
                      <w:szCs w:val="21"/>
                    </w:rPr>
                  </w:pP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53</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0.0084 </w:t>
                  </w:r>
                </w:p>
              </w:tc>
              <w:tc>
                <w:tcPr>
                  <w:tcW w:w="298" w:type="pct"/>
                  <w:vMerge w:val="continue"/>
                  <w:vAlign w:val="center"/>
                </w:tcPr>
                <w:p>
                  <w:pPr>
                    <w:jc w:val="center"/>
                    <w:rPr>
                      <w:rFonts w:hint="default" w:ascii="Times New Roman" w:hAnsi="Times New Roman" w:eastAsia="宋体" w:cs="Times New Roman"/>
                      <w:color w:val="auto"/>
                      <w:sz w:val="21"/>
                      <w:szCs w:val="21"/>
                    </w:rPr>
                  </w:pP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278" w:type="pct"/>
                  <w:vMerge w:val="continue"/>
                  <w:vAlign w:val="center"/>
                </w:tcPr>
                <w:p>
                  <w:pPr>
                    <w:jc w:val="center"/>
                    <w:rPr>
                      <w:rFonts w:hint="default" w:ascii="Times New Roman" w:hAnsi="Times New Roman" w:eastAsia="宋体" w:cs="Times New Roman"/>
                      <w:color w:val="auto"/>
                      <w:sz w:val="21"/>
                      <w:szCs w:val="21"/>
                    </w:rPr>
                  </w:pPr>
                </w:p>
              </w:tc>
              <w:tc>
                <w:tcPr>
                  <w:tcW w:w="378" w:type="pct"/>
                  <w:vMerge w:val="continue"/>
                  <w:vAlign w:val="center"/>
                </w:tcPr>
                <w:p>
                  <w:pPr>
                    <w:jc w:val="center"/>
                    <w:rPr>
                      <w:rFonts w:hint="default" w:ascii="Times New Roman" w:hAnsi="Times New Roman" w:eastAsia="宋体" w:cs="Times New Roman"/>
                      <w:color w:val="auto"/>
                      <w:sz w:val="21"/>
                      <w:szCs w:val="21"/>
                    </w:rPr>
                  </w:pP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53</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0.0084 </w:t>
                  </w:r>
                </w:p>
              </w:tc>
              <w:tc>
                <w:tcPr>
                  <w:tcW w:w="392" w:type="pct"/>
                  <w:vMerge w:val="continue"/>
                  <w:vAlign w:val="center"/>
                </w:tcPr>
                <w:p>
                  <w:pPr>
                    <w:widowControl/>
                    <w:spacing w:line="240" w:lineRule="auto"/>
                    <w:ind w:firstLine="0" w:firstLineChars="0"/>
                    <w:jc w:val="left"/>
                    <w:rPr>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 w:type="pct"/>
                  <w:vMerge w:val="continue"/>
                  <w:vAlign w:val="center"/>
                </w:tcPr>
                <w:p>
                  <w:pPr>
                    <w:widowControl/>
                    <w:spacing w:line="240" w:lineRule="auto"/>
                    <w:ind w:firstLine="0" w:firstLineChars="0"/>
                    <w:jc w:val="left"/>
                    <w:rPr>
                      <w:color w:val="auto"/>
                      <w:sz w:val="21"/>
                      <w:szCs w:val="21"/>
                    </w:rPr>
                  </w:pPr>
                </w:p>
              </w:tc>
              <w:tc>
                <w:tcPr>
                  <w:tcW w:w="436" w:type="pct"/>
                  <w:shd w:val="clear" w:color="auto" w:fill="auto"/>
                  <w:vAlign w:val="center"/>
                </w:tcPr>
                <w:p>
                  <w:pPr>
                    <w:widowControl/>
                    <w:spacing w:line="240" w:lineRule="auto"/>
                    <w:ind w:firstLine="0" w:firstLineChars="0"/>
                    <w:jc w:val="center"/>
                    <w:rPr>
                      <w:color w:val="auto"/>
                      <w:sz w:val="21"/>
                      <w:szCs w:val="21"/>
                    </w:rPr>
                  </w:pPr>
                  <w:r>
                    <w:rPr>
                      <w:rFonts w:hint="eastAsia"/>
                      <w:color w:val="auto"/>
                      <w:sz w:val="21"/>
                      <w:szCs w:val="21"/>
                    </w:rPr>
                    <w:t>总磷</w:t>
                  </w:r>
                </w:p>
              </w:tc>
              <w:tc>
                <w:tcPr>
                  <w:tcW w:w="284" w:type="pct"/>
                  <w:vMerge w:val="continue"/>
                  <w:vAlign w:val="center"/>
                </w:tcPr>
                <w:p>
                  <w:pPr>
                    <w:widowControl/>
                    <w:spacing w:line="240" w:lineRule="auto"/>
                    <w:ind w:firstLine="0" w:firstLineChars="0"/>
                    <w:jc w:val="left"/>
                    <w:rPr>
                      <w:color w:val="auto"/>
                      <w:sz w:val="21"/>
                      <w:szCs w:val="21"/>
                    </w:rPr>
                  </w:pPr>
                </w:p>
              </w:tc>
              <w:tc>
                <w:tcPr>
                  <w:tcW w:w="397" w:type="pct"/>
                  <w:vMerge w:val="continue"/>
                  <w:vAlign w:val="center"/>
                </w:tcPr>
                <w:p>
                  <w:pPr>
                    <w:jc w:val="center"/>
                    <w:rPr>
                      <w:color w:val="auto"/>
                      <w:sz w:val="21"/>
                      <w:szCs w:val="21"/>
                    </w:rPr>
                  </w:pPr>
                </w:p>
              </w:tc>
              <w:tc>
                <w:tcPr>
                  <w:tcW w:w="442" w:type="pct"/>
                  <w:shd w:val="clear" w:color="auto" w:fill="auto"/>
                  <w:vAlign w:val="center"/>
                </w:tcPr>
                <w:p>
                  <w:pPr>
                    <w:keepNext w:val="0"/>
                    <w:keepLines w:val="0"/>
                    <w:widowControl/>
                    <w:suppressLineNumbers w:val="0"/>
                    <w:jc w:val="center"/>
                    <w:textAlignment w:val="center"/>
                    <w:rPr>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w:t>
                  </w:r>
                </w:p>
              </w:tc>
              <w:tc>
                <w:tcPr>
                  <w:tcW w:w="55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298" w:type="pct"/>
                  <w:vMerge w:val="continue"/>
                  <w:vAlign w:val="center"/>
                </w:tcPr>
                <w:p>
                  <w:pPr>
                    <w:jc w:val="center"/>
                    <w:rPr>
                      <w:rFonts w:hint="default" w:ascii="Times New Roman" w:hAnsi="Times New Roman" w:eastAsia="宋体" w:cs="Times New Roman"/>
                      <w:color w:val="auto"/>
                      <w:sz w:val="21"/>
                      <w:szCs w:val="21"/>
                    </w:rPr>
                  </w:pPr>
                </w:p>
              </w:tc>
              <w:tc>
                <w:tcPr>
                  <w:tcW w:w="368"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p>
              </w:tc>
              <w:tc>
                <w:tcPr>
                  <w:tcW w:w="278" w:type="pct"/>
                  <w:vMerge w:val="continue"/>
                  <w:vAlign w:val="center"/>
                </w:tcPr>
                <w:p>
                  <w:pPr>
                    <w:jc w:val="center"/>
                    <w:rPr>
                      <w:rFonts w:hint="default" w:ascii="Times New Roman" w:hAnsi="Times New Roman" w:eastAsia="宋体" w:cs="Times New Roman"/>
                      <w:color w:val="auto"/>
                      <w:sz w:val="21"/>
                      <w:szCs w:val="21"/>
                    </w:rPr>
                  </w:pPr>
                </w:p>
              </w:tc>
              <w:tc>
                <w:tcPr>
                  <w:tcW w:w="378" w:type="pct"/>
                  <w:vMerge w:val="continue"/>
                  <w:vAlign w:val="center"/>
                </w:tcPr>
                <w:p>
                  <w:pPr>
                    <w:jc w:val="center"/>
                    <w:rPr>
                      <w:rFonts w:hint="default" w:ascii="Times New Roman" w:hAnsi="Times New Roman" w:eastAsia="宋体" w:cs="Times New Roman"/>
                      <w:color w:val="auto"/>
                      <w:sz w:val="21"/>
                      <w:szCs w:val="21"/>
                    </w:rPr>
                  </w:pPr>
                </w:p>
              </w:tc>
              <w:tc>
                <w:tcPr>
                  <w:tcW w:w="427"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w:t>
                  </w:r>
                </w:p>
              </w:tc>
              <w:tc>
                <w:tcPr>
                  <w:tcW w:w="541" w:type="pc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392" w:type="pct"/>
                  <w:vMerge w:val="continue"/>
                  <w:vAlign w:val="center"/>
                </w:tcPr>
                <w:p>
                  <w:pPr>
                    <w:widowControl/>
                    <w:spacing w:line="240" w:lineRule="auto"/>
                    <w:ind w:firstLine="0" w:firstLineChars="0"/>
                    <w:jc w:val="left"/>
                    <w:rPr>
                      <w:color w:val="auto"/>
                      <w:sz w:val="21"/>
                      <w:szCs w:val="21"/>
                    </w:rPr>
                  </w:pPr>
                </w:p>
              </w:tc>
            </w:tr>
          </w:tbl>
          <w:p>
            <w:pPr>
              <w:adjustRightInd w:val="0"/>
              <w:snapToGrid w:val="0"/>
              <w:spacing w:line="360" w:lineRule="auto"/>
              <w:ind w:firstLine="482" w:firstLineChars="200"/>
              <w:jc w:val="left"/>
              <w:rPr>
                <w:b/>
                <w:color w:val="auto"/>
                <w:kern w:val="0"/>
                <w:sz w:val="24"/>
              </w:rPr>
            </w:pPr>
            <w:r>
              <w:rPr>
                <w:rFonts w:hint="eastAsia"/>
                <w:b/>
                <w:color w:val="auto"/>
                <w:kern w:val="0"/>
                <w:sz w:val="24"/>
                <w:lang w:val="en-US" w:eastAsia="zh-CN"/>
              </w:rPr>
              <w:t>（2）</w:t>
            </w:r>
            <w:r>
              <w:rPr>
                <w:rFonts w:hint="eastAsia"/>
                <w:b/>
                <w:color w:val="auto"/>
                <w:kern w:val="0"/>
                <w:sz w:val="24"/>
              </w:rPr>
              <w:t>废水处理措施</w:t>
            </w:r>
            <w:r>
              <w:rPr>
                <w:rFonts w:hint="eastAsia"/>
                <w:b/>
                <w:color w:val="auto"/>
                <w:kern w:val="0"/>
                <w:sz w:val="24"/>
                <w:lang w:val="en-US" w:eastAsia="zh-CN"/>
              </w:rPr>
              <w:t>依托</w:t>
            </w:r>
            <w:r>
              <w:rPr>
                <w:rFonts w:hint="eastAsia"/>
                <w:b/>
                <w:color w:val="auto"/>
                <w:kern w:val="0"/>
                <w:sz w:val="24"/>
              </w:rPr>
              <w:t>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本项目生活污水经化粪池处理后排放到市政污水管网，进入</w:t>
            </w:r>
            <w:r>
              <w:rPr>
                <w:rFonts w:hint="eastAsia" w:ascii="Times New Roman" w:hAnsi="Times New Roman" w:eastAsia="宋体" w:cs="Times New Roman"/>
                <w:color w:val="auto"/>
                <w:sz w:val="24"/>
                <w:szCs w:val="32"/>
                <w:lang w:val="en-US" w:eastAsia="zh-CN"/>
              </w:rPr>
              <w:t>泾河新城第二污水处理厂进行处理</w:t>
            </w:r>
            <w:r>
              <w:rPr>
                <w:rFonts w:hint="default" w:ascii="Times New Roman" w:hAnsi="Times New Roman" w:eastAsia="宋体" w:cs="Times New Roman"/>
                <w:color w:val="auto"/>
                <w:sz w:val="24"/>
                <w:szCs w:val="32"/>
              </w:rPr>
              <w:t>。化粪池依托</w:t>
            </w:r>
            <w:r>
              <w:rPr>
                <w:rFonts w:hint="eastAsia" w:ascii="Times New Roman" w:hAnsi="Times New Roman" w:eastAsia="宋体" w:cs="Times New Roman"/>
                <w:color w:val="auto"/>
                <w:sz w:val="24"/>
                <w:szCs w:val="32"/>
                <w:lang w:val="en-US" w:eastAsia="zh-CN"/>
              </w:rPr>
              <w:t>园区</w:t>
            </w:r>
            <w:r>
              <w:rPr>
                <w:rFonts w:hint="default" w:ascii="Times New Roman" w:hAnsi="Times New Roman" w:eastAsia="宋体" w:cs="Times New Roman"/>
                <w:color w:val="auto"/>
                <w:sz w:val="24"/>
                <w:szCs w:val="32"/>
              </w:rPr>
              <w:t>现有化粪池，容积为</w:t>
            </w:r>
            <w:r>
              <w:rPr>
                <w:rFonts w:hint="eastAsia" w:ascii="Times New Roman" w:hAnsi="Times New Roman" w:eastAsia="宋体" w:cs="Times New Roman"/>
                <w:color w:val="auto"/>
                <w:sz w:val="24"/>
                <w:szCs w:val="32"/>
                <w:lang w:val="en-US" w:eastAsia="zh-CN"/>
              </w:rPr>
              <w:t>2</w:t>
            </w:r>
            <w:r>
              <w:rPr>
                <w:rFonts w:hint="default" w:ascii="Times New Roman" w:hAnsi="Times New Roman" w:eastAsia="宋体" w:cs="Times New Roman"/>
                <w:color w:val="auto"/>
                <w:sz w:val="24"/>
                <w:szCs w:val="32"/>
              </w:rPr>
              <w:t>0m</w:t>
            </w:r>
            <w:r>
              <w:rPr>
                <w:rFonts w:hint="default" w:ascii="Times New Roman" w:hAnsi="Times New Roman" w:eastAsia="宋体" w:cs="Times New Roman"/>
                <w:color w:val="auto"/>
                <w:sz w:val="24"/>
                <w:szCs w:val="32"/>
                <w:vertAlign w:val="superscript"/>
              </w:rPr>
              <w:t>3</w:t>
            </w:r>
            <w:r>
              <w:rPr>
                <w:rFonts w:hint="default" w:ascii="Times New Roman" w:hAnsi="Times New Roman" w:eastAsia="宋体" w:cs="Times New Roman"/>
                <w:color w:val="auto"/>
                <w:sz w:val="24"/>
                <w:szCs w:val="32"/>
              </w:rPr>
              <w:t>，位于租赁厂房楼下。本项目租赁</w:t>
            </w:r>
            <w:r>
              <w:rPr>
                <w:rFonts w:hint="eastAsia" w:ascii="Times New Roman" w:hAnsi="Times New Roman" w:eastAsia="宋体" w:cs="Times New Roman"/>
                <w:color w:val="auto"/>
                <w:sz w:val="24"/>
                <w:szCs w:val="32"/>
                <w:lang w:val="en-US" w:eastAsia="zh-CN"/>
              </w:rPr>
              <w:t>的厂房共4层，其中本项目租赁1层和4层，目前2~3层尚未租赁，化粪池尚未使用</w:t>
            </w:r>
            <w:r>
              <w:rPr>
                <w:rFonts w:hint="default"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现有</w:t>
            </w:r>
            <w:r>
              <w:rPr>
                <w:rFonts w:hint="default" w:ascii="Times New Roman" w:hAnsi="Times New Roman" w:eastAsia="宋体" w:cs="Times New Roman"/>
                <w:color w:val="auto"/>
                <w:sz w:val="24"/>
                <w:szCs w:val="32"/>
              </w:rPr>
              <w:t>容量满足本项目使用。</w:t>
            </w:r>
          </w:p>
          <w:p>
            <w:pPr>
              <w:snapToGrid w:val="0"/>
              <w:spacing w:line="360" w:lineRule="auto"/>
              <w:ind w:firstLine="482"/>
              <w:rPr>
                <w:b/>
                <w:bCs/>
                <w:color w:val="auto"/>
                <w:sz w:val="24"/>
              </w:rPr>
            </w:pPr>
            <w:r>
              <w:rPr>
                <w:rFonts w:hint="eastAsia"/>
                <w:b/>
                <w:bCs/>
                <w:color w:val="auto"/>
                <w:sz w:val="24"/>
                <w:lang w:val="en-US" w:eastAsia="zh-CN"/>
              </w:rPr>
              <w:t>3</w:t>
            </w:r>
            <w:r>
              <w:rPr>
                <w:b/>
                <w:bCs/>
                <w:color w:val="auto"/>
                <w:sz w:val="24"/>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szCs w:val="32"/>
              </w:rPr>
            </w:pPr>
            <w:r>
              <w:rPr>
                <w:b/>
                <w:bCs/>
                <w:color w:val="auto"/>
                <w:sz w:val="24"/>
                <w:szCs w:val="32"/>
              </w:rPr>
              <w:t>（</w:t>
            </w:r>
            <w:r>
              <w:rPr>
                <w:rFonts w:hint="default" w:ascii="Times New Roman" w:hAnsi="Times New Roman" w:cs="Times New Roman"/>
                <w:b/>
                <w:bCs/>
                <w:color w:val="auto"/>
                <w:sz w:val="24"/>
                <w:szCs w:val="32"/>
              </w:rPr>
              <w:t>1）噪声源强及降噪措施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default" w:ascii="Times New Roman" w:hAnsi="Times New Roman" w:cs="Times New Roman"/>
                <w:color w:val="auto"/>
                <w:sz w:val="24"/>
                <w:szCs w:val="32"/>
              </w:rPr>
              <w:t>本项目噪声主要来</w:t>
            </w:r>
            <w:r>
              <w:rPr>
                <w:rFonts w:hint="eastAsia" w:ascii="Times New Roman" w:hAnsi="Times New Roman" w:cs="Times New Roman"/>
                <w:color w:val="auto"/>
                <w:sz w:val="24"/>
                <w:szCs w:val="32"/>
                <w:lang w:val="en-US" w:eastAsia="zh-CN"/>
              </w:rPr>
              <w:t>自全自动钢网印刷机、高速贴片机、回流焊、激光雕刻机</w:t>
            </w:r>
            <w:r>
              <w:rPr>
                <w:rFonts w:hint="default" w:ascii="Times New Roman" w:hAnsi="Times New Roman" w:cs="Times New Roman"/>
                <w:color w:val="auto"/>
                <w:sz w:val="24"/>
                <w:szCs w:val="32"/>
              </w:rPr>
              <w:t>以及</w:t>
            </w:r>
            <w:r>
              <w:rPr>
                <w:rFonts w:hint="eastAsia" w:cs="Times New Roman"/>
                <w:color w:val="auto"/>
                <w:sz w:val="24"/>
                <w:szCs w:val="32"/>
                <w:lang w:eastAsia="zh-CN"/>
              </w:rPr>
              <w:t>及其</w:t>
            </w:r>
            <w:r>
              <w:rPr>
                <w:rFonts w:hint="default" w:ascii="Times New Roman" w:hAnsi="Times New Roman" w:cs="Times New Roman"/>
                <w:color w:val="auto"/>
                <w:sz w:val="24"/>
                <w:szCs w:val="32"/>
              </w:rPr>
              <w:t>配套的风机等设备和叉车等运输设备，噪声源强一般为</w:t>
            </w:r>
            <w:r>
              <w:rPr>
                <w:rFonts w:hint="eastAsia"/>
                <w:color w:val="auto"/>
                <w:sz w:val="24"/>
                <w:szCs w:val="32"/>
                <w:lang w:val="en-US" w:eastAsia="zh-CN"/>
              </w:rPr>
              <w:t>75</w:t>
            </w:r>
            <w:r>
              <w:rPr>
                <w:color w:val="auto"/>
                <w:sz w:val="24"/>
                <w:szCs w:val="32"/>
              </w:rPr>
              <w:t>~</w:t>
            </w:r>
            <w:r>
              <w:rPr>
                <w:rFonts w:hint="eastAsia"/>
                <w:color w:val="auto"/>
                <w:sz w:val="24"/>
                <w:szCs w:val="32"/>
              </w:rPr>
              <w:t>9</w:t>
            </w:r>
            <w:r>
              <w:rPr>
                <w:rFonts w:hint="eastAsia"/>
                <w:color w:val="auto"/>
                <w:sz w:val="24"/>
                <w:szCs w:val="32"/>
                <w:lang w:val="en-US" w:eastAsia="zh-CN"/>
              </w:rPr>
              <w:t>5</w:t>
            </w:r>
            <w:r>
              <w:rPr>
                <w:color w:val="auto"/>
                <w:sz w:val="24"/>
                <w:szCs w:val="32"/>
              </w:rPr>
              <w:t>dB</w:t>
            </w:r>
            <w:r>
              <w:rPr>
                <w:rFonts w:hint="eastAsia"/>
                <w:color w:val="auto"/>
                <w:sz w:val="24"/>
                <w:szCs w:val="32"/>
                <w:lang w:eastAsia="zh-CN"/>
              </w:rPr>
              <w:t>（</w:t>
            </w:r>
            <w:r>
              <w:rPr>
                <w:color w:val="auto"/>
                <w:sz w:val="24"/>
                <w:szCs w:val="32"/>
              </w:rPr>
              <w:t>A</w:t>
            </w:r>
            <w:r>
              <w:rPr>
                <w:rFonts w:hint="eastAsia"/>
                <w:color w:val="auto"/>
                <w:sz w:val="24"/>
                <w:szCs w:val="32"/>
                <w:lang w:eastAsia="zh-CN"/>
              </w:rPr>
              <w:t>）</w:t>
            </w:r>
            <w:r>
              <w:rPr>
                <w:color w:val="auto"/>
                <w:sz w:val="24"/>
                <w:szCs w:val="32"/>
              </w:rPr>
              <w:t>，</w:t>
            </w:r>
            <w:r>
              <w:rPr>
                <w:rFonts w:hint="eastAsia"/>
                <w:color w:val="auto"/>
                <w:sz w:val="24"/>
                <w:szCs w:val="32"/>
              </w:rPr>
              <w:t>本项目噪声源强一览表见表4-</w:t>
            </w:r>
            <w:r>
              <w:rPr>
                <w:rFonts w:hint="eastAsia"/>
                <w:color w:val="auto"/>
                <w:sz w:val="24"/>
                <w:szCs w:val="32"/>
                <w:lang w:val="en-US" w:eastAsia="zh-CN"/>
              </w:rPr>
              <w:t>7</w:t>
            </w:r>
            <w:r>
              <w:rPr>
                <w:rFonts w:hint="eastAsia"/>
                <w:color w:val="auto"/>
                <w:sz w:val="24"/>
                <w:szCs w:val="32"/>
              </w:rPr>
              <w:t>，室内设备噪声源强调查清单见</w:t>
            </w:r>
            <w:r>
              <w:rPr>
                <w:color w:val="auto"/>
                <w:sz w:val="24"/>
                <w:szCs w:val="32"/>
              </w:rPr>
              <w:t>表4-</w:t>
            </w:r>
            <w:r>
              <w:rPr>
                <w:rFonts w:hint="eastAsia"/>
                <w:color w:val="auto"/>
                <w:sz w:val="24"/>
                <w:szCs w:val="32"/>
                <w:lang w:val="en-US" w:eastAsia="zh-CN"/>
              </w:rPr>
              <w:t>8</w:t>
            </w:r>
            <w:r>
              <w:rPr>
                <w:rFonts w:hint="eastAsia"/>
                <w:color w:val="auto"/>
                <w:sz w:val="24"/>
                <w:szCs w:val="32"/>
              </w:rPr>
              <w:t>，室</w:t>
            </w:r>
            <w:r>
              <w:rPr>
                <w:rFonts w:hint="eastAsia"/>
                <w:color w:val="auto"/>
                <w:sz w:val="24"/>
                <w:szCs w:val="32"/>
                <w:lang w:val="en-US" w:eastAsia="zh-CN"/>
              </w:rPr>
              <w:t>外</w:t>
            </w:r>
            <w:r>
              <w:rPr>
                <w:rFonts w:hint="eastAsia"/>
                <w:color w:val="auto"/>
                <w:sz w:val="24"/>
                <w:szCs w:val="32"/>
              </w:rPr>
              <w:t>设备噪声源强调查清单见</w:t>
            </w:r>
            <w:r>
              <w:rPr>
                <w:color w:val="auto"/>
                <w:sz w:val="24"/>
                <w:szCs w:val="32"/>
              </w:rPr>
              <w:t>表4-</w:t>
            </w:r>
            <w:r>
              <w:rPr>
                <w:rFonts w:hint="eastAsia"/>
                <w:color w:val="auto"/>
                <w:sz w:val="24"/>
                <w:szCs w:val="32"/>
                <w:lang w:val="en-US" w:eastAsia="zh-CN"/>
              </w:rPr>
              <w:t>9</w:t>
            </w:r>
            <w:r>
              <w:rPr>
                <w:color w:val="auto"/>
                <w:sz w:val="24"/>
                <w:szCs w:val="32"/>
              </w:rPr>
              <w:t>：</w:t>
            </w:r>
          </w:p>
          <w:p>
            <w:pPr>
              <w:pStyle w:val="98"/>
              <w:rPr>
                <w:b/>
                <w:bCs/>
                <w:color w:val="auto"/>
              </w:rPr>
            </w:pPr>
            <w:r>
              <w:rPr>
                <w:b/>
                <w:bCs/>
                <w:color w:val="auto"/>
              </w:rPr>
              <w:t>表4-</w:t>
            </w:r>
            <w:r>
              <w:rPr>
                <w:rFonts w:hint="eastAsia"/>
                <w:b/>
                <w:bCs/>
                <w:color w:val="auto"/>
                <w:lang w:val="en-US" w:eastAsia="zh-CN"/>
              </w:rPr>
              <w:t>7</w:t>
            </w:r>
            <w:r>
              <w:rPr>
                <w:b/>
                <w:bCs/>
                <w:color w:val="auto"/>
              </w:rPr>
              <w:t xml:space="preserve">   </w:t>
            </w:r>
            <w:r>
              <w:rPr>
                <w:rFonts w:hint="eastAsia"/>
                <w:b/>
                <w:bCs/>
                <w:color w:val="auto"/>
                <w:lang w:val="en-US" w:eastAsia="zh-CN"/>
              </w:rPr>
              <w:t>主要设备</w:t>
            </w:r>
            <w:r>
              <w:rPr>
                <w:b/>
                <w:bCs/>
                <w:color w:val="auto"/>
              </w:rPr>
              <w:t>噪声源强一览表</w:t>
            </w:r>
          </w:p>
          <w:tbl>
            <w:tblPr>
              <w:tblStyle w:val="29"/>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04"/>
              <w:gridCol w:w="546"/>
              <w:gridCol w:w="1562"/>
              <w:gridCol w:w="1118"/>
              <w:gridCol w:w="1065"/>
              <w:gridCol w:w="124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序号</w:t>
                  </w:r>
                </w:p>
              </w:tc>
              <w:tc>
                <w:tcPr>
                  <w:tcW w:w="131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设备名称</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数量</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单机噪声dB（A）</w:t>
                  </w:r>
                </w:p>
              </w:tc>
              <w:tc>
                <w:tcPr>
                  <w:tcW w:w="668"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color w:val="auto"/>
                    </w:rPr>
                  </w:pPr>
                  <w:r>
                    <w:rPr>
                      <w:color w:val="auto"/>
                    </w:rPr>
                    <w:t>位置</w:t>
                  </w:r>
                </w:p>
              </w:tc>
              <w:tc>
                <w:tcPr>
                  <w:tcW w:w="636"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eastAsia="宋体"/>
                      <w:color w:val="auto"/>
                      <w:lang w:val="en-US" w:eastAsia="zh-CN"/>
                    </w:rPr>
                  </w:pPr>
                  <w:r>
                    <w:rPr>
                      <w:rFonts w:hint="eastAsia"/>
                      <w:color w:val="auto"/>
                      <w:lang w:val="en-US" w:eastAsia="zh-CN"/>
                    </w:rPr>
                    <w:t>类型</w:t>
                  </w:r>
                </w:p>
              </w:tc>
              <w:tc>
                <w:tcPr>
                  <w:tcW w:w="743"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使用时间（h）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right w:val="single" w:color="auto" w:sz="4" w:space="0"/>
                  </w:tcBorders>
                  <w:tcMar>
                    <w:top w:w="0" w:type="dxa"/>
                    <w:left w:w="0" w:type="dxa"/>
                    <w:bottom w:w="0" w:type="dxa"/>
                    <w:right w:w="0" w:type="dxa"/>
                  </w:tcMar>
                  <w:vAlign w:val="center"/>
                </w:tcPr>
                <w:p>
                  <w:pPr>
                    <w:pStyle w:val="98"/>
                    <w:rPr>
                      <w:color w:val="auto"/>
                    </w:rPr>
                  </w:pPr>
                  <w:r>
                    <w:rPr>
                      <w:color w:val="auto"/>
                    </w:rPr>
                    <w:t>1</w:t>
                  </w:r>
                </w:p>
              </w:tc>
              <w:tc>
                <w:tcPr>
                  <w:tcW w:w="2204"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jc w:val="center"/>
                    <w:rPr>
                      <w:rFonts w:hint="eastAsia"/>
                      <w:color w:val="auto"/>
                    </w:rPr>
                  </w:pPr>
                  <w:r>
                    <w:rPr>
                      <w:rFonts w:hint="eastAsia"/>
                      <w:color w:val="auto"/>
                      <w:highlight w:val="none"/>
                      <w:lang w:val="en-US" w:eastAsia="zh-CN"/>
                    </w:rPr>
                    <w:t>全自动钢网印刷机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eastAsia="宋体"/>
                      <w:color w:val="auto"/>
                      <w:lang w:eastAsia="zh-CN"/>
                    </w:rPr>
                  </w:pPr>
                  <w:r>
                    <w:rPr>
                      <w:rFonts w:hint="eastAsia"/>
                      <w:color w:val="auto"/>
                      <w:highlight w:val="none"/>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eastAsia="宋体"/>
                      <w:color w:val="auto"/>
                      <w:lang w:val="en-US" w:eastAsia="zh-CN"/>
                    </w:rPr>
                  </w:pPr>
                  <w:r>
                    <w:rPr>
                      <w:rFonts w:hint="eastAsia"/>
                      <w:color w:val="auto"/>
                      <w:lang w:val="en-US" w:eastAsia="zh-CN"/>
                    </w:rPr>
                    <w:t>75</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color w:val="auto"/>
                    </w:rPr>
                  </w:pPr>
                  <w:r>
                    <w:rPr>
                      <w:rFonts w:hint="eastAsia"/>
                      <w:color w:val="auto"/>
                    </w:rPr>
                    <w:t>厂房内</w:t>
                  </w:r>
                </w:p>
              </w:tc>
              <w:tc>
                <w:tcPr>
                  <w:tcW w:w="636"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eastAsia="宋体"/>
                      <w:color w:val="auto"/>
                      <w:lang w:val="en-US" w:eastAsia="zh-CN"/>
                    </w:rPr>
                  </w:pPr>
                  <w:r>
                    <w:rPr>
                      <w:rFonts w:hint="eastAsia"/>
                      <w:color w:val="auto"/>
                      <w:lang w:val="en-US" w:eastAsia="zh-CN"/>
                    </w:rPr>
                    <w:t>固定声源</w:t>
                  </w:r>
                </w:p>
              </w:tc>
              <w:tc>
                <w:tcPr>
                  <w:tcW w:w="743"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2</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color w:val="auto"/>
                    </w:rPr>
                  </w:pPr>
                  <w:r>
                    <w:rPr>
                      <w:rFonts w:hint="eastAsia" w:cs="Times New Roman"/>
                      <w:color w:val="auto"/>
                      <w:kern w:val="2"/>
                      <w:sz w:val="21"/>
                      <w:szCs w:val="24"/>
                      <w:highlight w:val="none"/>
                      <w:lang w:val="en-US" w:eastAsia="zh-CN" w:bidi="ar-SA"/>
                    </w:rPr>
                    <w:t>高速贴片机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color w:val="auto"/>
                    </w:rPr>
                  </w:pPr>
                  <w:r>
                    <w:rPr>
                      <w:rFonts w:hint="eastAsia"/>
                      <w:color w:val="auto"/>
                      <w:highlight w:val="none"/>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eastAsia="宋体"/>
                      <w:color w:val="auto"/>
                      <w:lang w:val="en-US" w:eastAsia="zh-CN"/>
                    </w:rPr>
                  </w:pPr>
                  <w:r>
                    <w:rPr>
                      <w:rFonts w:hint="eastAsia"/>
                      <w:color w:val="auto"/>
                      <w:lang w:val="en-US" w:eastAsia="zh-CN"/>
                    </w:rPr>
                    <w:t>75</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color w:val="auto"/>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3</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eastAsia="宋体"/>
                      <w:color w:val="auto"/>
                      <w:lang w:eastAsia="zh-CN"/>
                    </w:rPr>
                  </w:pPr>
                  <w:r>
                    <w:rPr>
                      <w:rFonts w:hint="eastAsia" w:cs="Times New Roman"/>
                      <w:color w:val="auto"/>
                      <w:kern w:val="2"/>
                      <w:sz w:val="21"/>
                      <w:szCs w:val="24"/>
                      <w:highlight w:val="none"/>
                      <w:lang w:val="en-US" w:eastAsia="zh-CN" w:bidi="ar-SA"/>
                    </w:rPr>
                    <w:t>回流焊</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color w:val="auto"/>
                    </w:rPr>
                  </w:pPr>
                  <w:r>
                    <w:rPr>
                      <w:rFonts w:hint="eastAsia" w:cs="Times New Roman"/>
                      <w:color w:val="auto"/>
                      <w:kern w:val="2"/>
                      <w:sz w:val="21"/>
                      <w:szCs w:val="24"/>
                      <w:highlight w:val="none"/>
                      <w:lang w:val="en-US" w:eastAsia="zh-CN" w:bidi="ar-SA"/>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eastAsia="宋体"/>
                      <w:color w:val="auto"/>
                      <w:lang w:val="en-US" w:eastAsia="zh-CN"/>
                    </w:rPr>
                  </w:pPr>
                  <w:r>
                    <w:rPr>
                      <w:rFonts w:hint="eastAsia"/>
                      <w:color w:val="auto"/>
                      <w:lang w:val="en-US" w:eastAsia="zh-CN"/>
                    </w:rPr>
                    <w:t>80</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eastAsia="宋体"/>
                      <w:color w:val="auto"/>
                      <w:lang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color w:val="auto"/>
                    </w:rPr>
                  </w:pPr>
                  <w:r>
                    <w:rPr>
                      <w:color w:val="auto"/>
                    </w:rPr>
                    <w:t>4</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eastAsia="宋体"/>
                      <w:color w:val="auto"/>
                      <w:lang w:eastAsia="zh-CN"/>
                    </w:rPr>
                  </w:pPr>
                  <w:r>
                    <w:rPr>
                      <w:rFonts w:hint="eastAsia" w:cs="Times New Roman"/>
                      <w:color w:val="auto"/>
                      <w:kern w:val="2"/>
                      <w:sz w:val="21"/>
                      <w:szCs w:val="24"/>
                      <w:highlight w:val="none"/>
                      <w:lang w:val="en-US" w:eastAsia="zh-CN" w:bidi="ar-SA"/>
                    </w:rPr>
                    <w:t>非高压热压夹层机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color w:val="auto"/>
                    </w:rPr>
                  </w:pPr>
                  <w:r>
                    <w:rPr>
                      <w:rFonts w:hint="eastAsia" w:cs="Times New Roman"/>
                      <w:color w:val="auto"/>
                      <w:kern w:val="2"/>
                      <w:sz w:val="21"/>
                      <w:szCs w:val="24"/>
                      <w:highlight w:val="none"/>
                      <w:lang w:val="en-US" w:eastAsia="zh-CN" w:bidi="ar-SA"/>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eastAsia="宋体"/>
                      <w:color w:val="auto"/>
                      <w:lang w:val="en-US" w:eastAsia="zh-CN"/>
                    </w:rPr>
                  </w:pPr>
                  <w:r>
                    <w:rPr>
                      <w:rFonts w:hint="eastAsia"/>
                      <w:color w:val="auto"/>
                      <w:lang w:val="en-US" w:eastAsia="zh-CN"/>
                    </w:rPr>
                    <w:t>80</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color w:val="auto"/>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eastAsia" w:eastAsia="宋体"/>
                      <w:color w:val="auto"/>
                      <w:lang w:val="en-US" w:eastAsia="zh-CN"/>
                    </w:rPr>
                  </w:pPr>
                  <w:r>
                    <w:rPr>
                      <w:color w:val="auto"/>
                    </w:rPr>
                    <w:t>5</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Times New Roman" w:hAnsi="Times New Roman" w:eastAsia="宋体" w:cs="Times New Roman"/>
                      <w:b w:val="0"/>
                      <w:color w:val="auto"/>
                      <w:kern w:val="2"/>
                      <w:sz w:val="21"/>
                      <w:szCs w:val="32"/>
                      <w:lang w:val="en-US" w:eastAsia="zh-CN" w:bidi="ar-SA"/>
                    </w:rPr>
                  </w:pPr>
                  <w:r>
                    <w:rPr>
                      <w:rFonts w:hint="eastAsia" w:cs="Times New Roman"/>
                      <w:color w:val="auto"/>
                      <w:kern w:val="2"/>
                      <w:sz w:val="21"/>
                      <w:szCs w:val="24"/>
                      <w:highlight w:val="none"/>
                      <w:lang w:val="en-US" w:eastAsia="zh-CN" w:bidi="ar-SA"/>
                    </w:rPr>
                    <w:t>单晶硅片串焊机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Times New Roman" w:hAnsi="Times New Roman" w:eastAsia="宋体" w:cs="Times New Roman"/>
                      <w:b w:val="0"/>
                      <w:color w:val="auto"/>
                      <w:kern w:val="2"/>
                      <w:sz w:val="21"/>
                      <w:szCs w:val="32"/>
                      <w:lang w:val="en-US" w:eastAsia="zh-CN" w:bidi="ar-SA"/>
                    </w:rPr>
                  </w:pPr>
                  <w:r>
                    <w:rPr>
                      <w:rFonts w:hint="eastAsia"/>
                      <w:color w:val="auto"/>
                      <w:highlight w:val="none"/>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ascii="Times New Roman" w:hAnsi="Times New Roman" w:eastAsia="宋体" w:cs="Times New Roman"/>
                      <w:b w:val="0"/>
                      <w:color w:val="auto"/>
                      <w:kern w:val="2"/>
                      <w:sz w:val="21"/>
                      <w:szCs w:val="32"/>
                      <w:lang w:val="en-US" w:eastAsia="zh-CN" w:bidi="ar-SA"/>
                    </w:rPr>
                  </w:pPr>
                  <w:r>
                    <w:rPr>
                      <w:rFonts w:hint="eastAsia" w:cs="Times New Roman"/>
                      <w:b w:val="0"/>
                      <w:color w:val="auto"/>
                      <w:kern w:val="2"/>
                      <w:sz w:val="21"/>
                      <w:szCs w:val="32"/>
                      <w:lang w:val="en-US" w:eastAsia="zh-CN" w:bidi="ar-SA"/>
                    </w:rPr>
                    <w:t>75</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ascii="Times New Roman" w:hAnsi="Times New Roman" w:eastAsia="宋体" w:cs="Times New Roman"/>
                      <w:b w:val="0"/>
                      <w:color w:val="auto"/>
                      <w:kern w:val="2"/>
                      <w:sz w:val="21"/>
                      <w:szCs w:val="32"/>
                      <w:lang w:val="en-US" w:eastAsia="zh-CN" w:bidi="ar-SA"/>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6</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color w:val="auto"/>
                      <w:lang w:val="en-US" w:eastAsia="zh-CN"/>
                    </w:rPr>
                  </w:pPr>
                  <w:r>
                    <w:rPr>
                      <w:rFonts w:hint="eastAsia" w:cs="Times New Roman"/>
                      <w:color w:val="auto"/>
                      <w:kern w:val="2"/>
                      <w:sz w:val="21"/>
                      <w:szCs w:val="24"/>
                      <w:highlight w:val="none"/>
                      <w:lang w:val="en-US" w:eastAsia="zh-CN" w:bidi="ar-SA"/>
                    </w:rPr>
                    <w:t>激光雕刻</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color w:val="auto"/>
                      <w:lang w:val="en-US" w:eastAsia="zh-CN"/>
                    </w:rPr>
                  </w:pPr>
                  <w:r>
                    <w:rPr>
                      <w:rFonts w:hint="eastAsia"/>
                      <w:color w:val="auto"/>
                      <w:highlight w:val="none"/>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75</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eastAsia="宋体"/>
                      <w:color w:val="auto"/>
                      <w:lang w:val="en-US"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7</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s="Times New Roman"/>
                      <w:color w:val="auto"/>
                      <w:kern w:val="2"/>
                      <w:sz w:val="21"/>
                      <w:szCs w:val="24"/>
                      <w:highlight w:val="none"/>
                      <w:lang w:val="en-US" w:eastAsia="zh-CN" w:bidi="ar-SA"/>
                    </w:rPr>
                    <w:t>中空合片机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olor w:val="auto"/>
                      <w:highlight w:val="none"/>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80</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8</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s="Times New Roman"/>
                      <w:color w:val="auto"/>
                      <w:kern w:val="2"/>
                      <w:sz w:val="21"/>
                      <w:szCs w:val="24"/>
                      <w:highlight w:val="none"/>
                      <w:lang w:val="en-US" w:eastAsia="zh-CN" w:bidi="ar-SA"/>
                    </w:rPr>
                    <w:t>人工补焊机</w:t>
                  </w:r>
                </w:p>
              </w:tc>
              <w:tc>
                <w:tcPr>
                  <w:tcW w:w="5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olor w:val="auto"/>
                      <w:highlight w:val="none"/>
                      <w:lang w:val="en-US" w:eastAsia="zh-CN"/>
                    </w:rPr>
                    <w:t>6</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75</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9</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s="Times New Roman"/>
                      <w:color w:val="auto"/>
                      <w:kern w:val="2"/>
                      <w:sz w:val="21"/>
                      <w:szCs w:val="24"/>
                      <w:highlight w:val="none"/>
                      <w:lang w:val="en-US" w:eastAsia="zh-CN" w:bidi="ar-SA"/>
                    </w:rPr>
                    <w:t>移动式焊烟净化器</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8</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80</w:t>
                  </w:r>
                </w:p>
              </w:tc>
              <w:tc>
                <w:tcPr>
                  <w:tcW w:w="1118"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10</w:t>
                  </w:r>
                </w:p>
              </w:tc>
              <w:tc>
                <w:tcPr>
                  <w:tcW w:w="131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废气处理设施风机</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90</w:t>
                  </w:r>
                </w:p>
              </w:tc>
              <w:tc>
                <w:tcPr>
                  <w:tcW w:w="668"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rPr>
                    <w:t>厂房内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11</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olor w:val="auto"/>
                      <w:highlight w:val="none"/>
                      <w:lang w:val="en-US" w:eastAsia="zh-CN"/>
                    </w:rPr>
                    <w:t>通风风机</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95</w:t>
                  </w:r>
                </w:p>
              </w:tc>
              <w:tc>
                <w:tcPr>
                  <w:tcW w:w="668"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排风机房内</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12</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color w:val="auto"/>
                      <w:lang w:val="en-US" w:eastAsia="zh-CN"/>
                    </w:rPr>
                  </w:pPr>
                  <w:r>
                    <w:rPr>
                      <w:rFonts w:hint="eastAsia"/>
                      <w:color w:val="auto"/>
                      <w:highlight w:val="none"/>
                      <w:lang w:val="en-US" w:eastAsia="zh-CN"/>
                    </w:rPr>
                    <w:t>叉车</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1</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80</w:t>
                  </w:r>
                </w:p>
              </w:tc>
              <w:tc>
                <w:tcPr>
                  <w:tcW w:w="668"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rPr>
                    <w:t>厂房内</w:t>
                  </w:r>
                </w:p>
              </w:tc>
              <w:tc>
                <w:tcPr>
                  <w:tcW w:w="636"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移动声源</w:t>
                  </w:r>
                </w:p>
              </w:tc>
              <w:tc>
                <w:tcPr>
                  <w:tcW w:w="743"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2400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76" w:type="pct"/>
                  <w:tcBorders>
                    <w:top w:val="single" w:color="auto" w:sz="4" w:space="0"/>
                    <w:left w:val="nil"/>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13</w:t>
                  </w:r>
                </w:p>
              </w:tc>
              <w:tc>
                <w:tcPr>
                  <w:tcW w:w="220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default"/>
                      <w:color w:val="auto"/>
                      <w:highlight w:val="none"/>
                      <w:lang w:val="en-US" w:eastAsia="zh-CN"/>
                    </w:rPr>
                  </w:pPr>
                  <w:r>
                    <w:rPr>
                      <w:rFonts w:hint="eastAsia"/>
                      <w:color w:val="auto"/>
                      <w:highlight w:val="none"/>
                      <w:lang w:val="en-US" w:eastAsia="zh-CN"/>
                    </w:rPr>
                    <w:t>空调室外风机</w:t>
                  </w:r>
                </w:p>
              </w:tc>
              <w:tc>
                <w:tcPr>
                  <w:tcW w:w="326"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2</w:t>
                  </w:r>
                </w:p>
              </w:tc>
              <w:tc>
                <w:tcPr>
                  <w:tcW w:w="9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98"/>
                    <w:rPr>
                      <w:rFonts w:hint="default"/>
                      <w:color w:val="auto"/>
                      <w:lang w:val="en-US" w:eastAsia="zh-CN"/>
                    </w:rPr>
                  </w:pPr>
                  <w:r>
                    <w:rPr>
                      <w:rFonts w:hint="eastAsia"/>
                      <w:color w:val="auto"/>
                      <w:lang w:val="en-US" w:eastAsia="zh-CN"/>
                    </w:rPr>
                    <w:t>95</w:t>
                  </w:r>
                </w:p>
              </w:tc>
              <w:tc>
                <w:tcPr>
                  <w:tcW w:w="668" w:type="pct"/>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eastAsia="宋体"/>
                      <w:color w:val="auto"/>
                      <w:lang w:val="en-US" w:eastAsia="zh-CN"/>
                    </w:rPr>
                  </w:pPr>
                  <w:r>
                    <w:rPr>
                      <w:rFonts w:hint="eastAsia"/>
                      <w:color w:val="auto"/>
                      <w:lang w:val="en-US" w:eastAsia="zh-CN"/>
                    </w:rPr>
                    <w:t>楼顶</w:t>
                  </w:r>
                </w:p>
              </w:tc>
              <w:tc>
                <w:tcPr>
                  <w:tcW w:w="1065"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固定声源</w:t>
                  </w:r>
                </w:p>
              </w:tc>
              <w:tc>
                <w:tcPr>
                  <w:tcW w:w="1244" w:type="dxa"/>
                  <w:tcBorders>
                    <w:top w:val="single" w:color="auto" w:sz="4" w:space="0"/>
                    <w:left w:val="single" w:color="auto" w:sz="4" w:space="0"/>
                    <w:bottom w:val="single" w:color="auto" w:sz="4" w:space="0"/>
                    <w:right w:val="nil"/>
                  </w:tcBorders>
                  <w:tcMar>
                    <w:top w:w="0" w:type="dxa"/>
                    <w:left w:w="0" w:type="dxa"/>
                    <w:bottom w:w="0" w:type="dxa"/>
                    <w:right w:w="0" w:type="dxa"/>
                  </w:tcMar>
                  <w:vAlign w:val="center"/>
                </w:tcPr>
                <w:p>
                  <w:pPr>
                    <w:pStyle w:val="98"/>
                    <w:rPr>
                      <w:rFonts w:hint="eastAsia"/>
                      <w:color w:val="auto"/>
                      <w:lang w:val="en-US" w:eastAsia="zh-CN"/>
                    </w:rPr>
                  </w:pPr>
                  <w:r>
                    <w:rPr>
                      <w:rFonts w:hint="eastAsia"/>
                      <w:color w:val="auto"/>
                      <w:lang w:val="en-US" w:eastAsia="zh-CN"/>
                    </w:rPr>
                    <w:t>2400</w:t>
                  </w:r>
                </w:p>
              </w:tc>
            </w:tr>
          </w:tbl>
          <w:p>
            <w:pPr>
              <w:keepNext/>
              <w:spacing w:line="520" w:lineRule="exact"/>
              <w:outlineLvl w:val="1"/>
              <w:rPr>
                <w:color w:val="auto"/>
                <w:sz w:val="24"/>
              </w:rPr>
            </w:pPr>
          </w:p>
        </w:tc>
      </w:tr>
    </w:tbl>
    <w:p>
      <w:pPr>
        <w:rPr>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9"/>
        <w:tblW w:w="50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72"/>
        <w:gridCol w:w="12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140" w:type="pct"/>
            <w:tcBorders>
              <w:left w:val="single" w:color="auto" w:sz="4" w:space="0"/>
            </w:tcBorders>
            <w:tcMar>
              <w:left w:w="28" w:type="dxa"/>
              <w:right w:w="28" w:type="dxa"/>
            </w:tcMar>
            <w:vAlign w:val="center"/>
          </w:tcPr>
          <w:p>
            <w:pPr>
              <w:jc w:val="center"/>
              <w:rPr>
                <w:color w:val="auto"/>
              </w:rPr>
            </w:pPr>
            <w:r>
              <w:rPr>
                <w:color w:val="auto"/>
              </w:rPr>
              <w:br w:type="page"/>
            </w:r>
            <w:r>
              <w:rPr>
                <w:b/>
                <w:bCs/>
                <w:color w:val="auto"/>
                <w:sz w:val="24"/>
              </w:rPr>
              <w:t>运营期环境影响和保护措施</w:t>
            </w:r>
          </w:p>
        </w:tc>
        <w:tc>
          <w:tcPr>
            <w:tcW w:w="4859" w:type="pct"/>
            <w:vAlign w:val="center"/>
          </w:tcPr>
          <w:p>
            <w:pPr>
              <w:spacing w:line="240" w:lineRule="auto"/>
              <w:ind w:firstLine="422"/>
              <w:jc w:val="center"/>
              <w:rPr>
                <w:b/>
                <w:bCs/>
                <w:color w:val="auto"/>
                <w:sz w:val="21"/>
                <w:szCs w:val="21"/>
              </w:rPr>
            </w:pPr>
            <w:r>
              <w:rPr>
                <w:b/>
                <w:color w:val="auto"/>
                <w:sz w:val="21"/>
                <w:szCs w:val="21"/>
              </w:rPr>
              <w:t>表4-</w:t>
            </w:r>
            <w:r>
              <w:rPr>
                <w:rFonts w:hint="eastAsia"/>
                <w:b/>
                <w:color w:val="auto"/>
                <w:sz w:val="21"/>
                <w:szCs w:val="21"/>
                <w:lang w:val="en-US" w:eastAsia="zh-CN"/>
              </w:rPr>
              <w:t>8</w:t>
            </w:r>
            <w:r>
              <w:rPr>
                <w:rFonts w:hint="eastAsia"/>
                <w:b/>
                <w:color w:val="auto"/>
                <w:sz w:val="21"/>
                <w:szCs w:val="21"/>
              </w:rPr>
              <w:t xml:space="preserve">  工业企业主要噪声源强调查清单（室内</w:t>
            </w:r>
            <w:r>
              <w:rPr>
                <w:rFonts w:hint="eastAsia"/>
                <w:b/>
                <w:color w:val="auto"/>
                <w:sz w:val="21"/>
                <w:szCs w:val="21"/>
                <w:lang w:eastAsia="zh-CN"/>
              </w:rPr>
              <w:t>、</w:t>
            </w:r>
            <w:r>
              <w:rPr>
                <w:rFonts w:hint="eastAsia"/>
                <w:b/>
                <w:color w:val="auto"/>
                <w:sz w:val="21"/>
                <w:szCs w:val="21"/>
                <w:lang w:val="en-US" w:eastAsia="zh-CN"/>
              </w:rPr>
              <w:t>固定声源</w:t>
            </w:r>
            <w:r>
              <w:rPr>
                <w:rFonts w:hint="eastAsia"/>
                <w:b/>
                <w:color w:val="auto"/>
                <w:sz w:val="21"/>
                <w:szCs w:val="21"/>
              </w:rPr>
              <w:t>）</w:t>
            </w:r>
            <w:r>
              <w:rPr>
                <w:rFonts w:hint="eastAsia"/>
                <w:color w:val="auto"/>
                <w:sz w:val="21"/>
                <w:szCs w:val="21"/>
              </w:rPr>
              <w:t xml:space="preserve">  </w:t>
            </w:r>
            <w:r>
              <w:rPr>
                <w:rFonts w:hint="eastAsia"/>
                <w:b/>
                <w:bCs/>
                <w:color w:val="auto"/>
                <w:sz w:val="21"/>
                <w:szCs w:val="21"/>
              </w:rPr>
              <w:t>单位：（</w:t>
            </w:r>
            <w:r>
              <w:rPr>
                <w:b/>
                <w:bCs/>
                <w:color w:val="auto"/>
                <w:sz w:val="21"/>
                <w:szCs w:val="21"/>
              </w:rPr>
              <w:t>dB</w:t>
            </w:r>
            <w:r>
              <w:rPr>
                <w:rFonts w:hint="eastAsia"/>
                <w:b/>
                <w:bCs/>
                <w:color w:val="auto"/>
                <w:sz w:val="21"/>
                <w:szCs w:val="21"/>
              </w:rPr>
              <w:t>（</w:t>
            </w:r>
            <w:r>
              <w:rPr>
                <w:b/>
                <w:bCs/>
                <w:color w:val="auto"/>
                <w:sz w:val="21"/>
                <w:szCs w:val="21"/>
              </w:rPr>
              <w:t>A</w:t>
            </w:r>
            <w:r>
              <w:rPr>
                <w:rFonts w:hint="eastAsia"/>
                <w:b/>
                <w:bCs/>
                <w:color w:val="auto"/>
                <w:sz w:val="21"/>
                <w:szCs w:val="21"/>
              </w:rPr>
              <w:t>）/m）</w:t>
            </w:r>
          </w:p>
          <w:tbl>
            <w:tblPr>
              <w:tblStyle w:val="29"/>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5"/>
              <w:gridCol w:w="450"/>
              <w:gridCol w:w="1114"/>
              <w:gridCol w:w="686"/>
              <w:gridCol w:w="750"/>
              <w:gridCol w:w="450"/>
              <w:gridCol w:w="557"/>
              <w:gridCol w:w="529"/>
              <w:gridCol w:w="462"/>
              <w:gridCol w:w="461"/>
              <w:gridCol w:w="427"/>
              <w:gridCol w:w="450"/>
              <w:gridCol w:w="635"/>
              <w:gridCol w:w="634"/>
              <w:gridCol w:w="623"/>
              <w:gridCol w:w="589"/>
              <w:gridCol w:w="346"/>
              <w:gridCol w:w="727"/>
              <w:gridCol w:w="450"/>
              <w:gridCol w:w="461"/>
              <w:gridCol w:w="427"/>
              <w:gridCol w:w="462"/>
              <w:gridCol w:w="6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5"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615" w:type="pct"/>
                  <w:gridSpan w:val="2"/>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声源设备</w:t>
                  </w:r>
                </w:p>
              </w:tc>
              <w:tc>
                <w:tcPr>
                  <w:tcW w:w="269"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声压级/距声源距离</w:t>
                  </w:r>
                </w:p>
              </w:tc>
              <w:tc>
                <w:tcPr>
                  <w:tcW w:w="294"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声源控制措施</w:t>
                  </w:r>
                </w:p>
              </w:tc>
              <w:tc>
                <w:tcPr>
                  <w:tcW w:w="604" w:type="pct"/>
                  <w:gridSpan w:val="3"/>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空间相对位置/m</w:t>
                  </w:r>
                </w:p>
              </w:tc>
              <w:tc>
                <w:tcPr>
                  <w:tcW w:w="707" w:type="pct"/>
                  <w:gridSpan w:val="4"/>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距室内边界距离/m</w:t>
                  </w:r>
                </w:p>
              </w:tc>
              <w:tc>
                <w:tcPr>
                  <w:tcW w:w="975" w:type="pct"/>
                  <w:gridSpan w:val="4"/>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室内边界声级/dB（A）</w:t>
                  </w:r>
                </w:p>
              </w:tc>
              <w:tc>
                <w:tcPr>
                  <w:tcW w:w="136"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运行时段</w:t>
                  </w:r>
                </w:p>
              </w:tc>
              <w:tc>
                <w:tcPr>
                  <w:tcW w:w="285"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建筑物插入损失/dB（A）</w:t>
                  </w:r>
                </w:p>
              </w:tc>
              <w:tc>
                <w:tcPr>
                  <w:tcW w:w="975" w:type="pct"/>
                  <w:gridSpan w:val="5"/>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建筑物外噪声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5"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615" w:type="pct"/>
                  <w:gridSpan w:val="2"/>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9"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94"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76"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219"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208"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181"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181"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167"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176"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249"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249"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244"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231"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13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85"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707" w:type="pct"/>
                  <w:gridSpan w:val="4"/>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声压级/dB（A）</w:t>
                  </w:r>
                </w:p>
              </w:tc>
              <w:tc>
                <w:tcPr>
                  <w:tcW w:w="267"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建筑物外距离/m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5"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615" w:type="pct"/>
                  <w:gridSpan w:val="2"/>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9"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94"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19"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08"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49"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49"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44"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3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3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85"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76" w:type="pc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w:t>
                  </w:r>
                </w:p>
              </w:tc>
              <w:tc>
                <w:tcPr>
                  <w:tcW w:w="181" w:type="pc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w:t>
                  </w:r>
                </w:p>
              </w:tc>
              <w:tc>
                <w:tcPr>
                  <w:tcW w:w="167" w:type="pc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w:t>
                  </w:r>
                </w:p>
              </w:tc>
              <w:tc>
                <w:tcPr>
                  <w:tcW w:w="181" w:type="pc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w:t>
                  </w: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76" w:type="pct"/>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一层厂房设备</w:t>
                  </w: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highlight w:val="none"/>
                      <w:lang w:val="en-US" w:eastAsia="zh-CN"/>
                    </w:rPr>
                    <w:t>全自动钢网印刷机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75/1</w:t>
                  </w:r>
                </w:p>
              </w:tc>
              <w:tc>
                <w:tcPr>
                  <w:tcW w:w="294" w:type="pct"/>
                  <w:vMerge w:val="restar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厂房内布置、基础减振、定期维护</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13</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48.2</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49.0</w:t>
                  </w:r>
                </w:p>
              </w:tc>
              <w:tc>
                <w:tcPr>
                  <w:tcW w:w="136" w:type="pct"/>
                  <w:vMerge w:val="restar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连续</w:t>
                  </w:r>
                </w:p>
              </w:tc>
              <w:tc>
                <w:tcPr>
                  <w:tcW w:w="285"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76"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46.0</w:t>
                  </w:r>
                </w:p>
              </w:tc>
              <w:tc>
                <w:tcPr>
                  <w:tcW w:w="181"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52.4</w:t>
                  </w:r>
                </w:p>
              </w:tc>
              <w:tc>
                <w:tcPr>
                  <w:tcW w:w="167"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57.5</w:t>
                  </w:r>
                </w:p>
              </w:tc>
              <w:tc>
                <w:tcPr>
                  <w:tcW w:w="181"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56.0</w:t>
                  </w:r>
                </w:p>
              </w:tc>
              <w:tc>
                <w:tcPr>
                  <w:tcW w:w="267" w:type="pct"/>
                  <w:vMerge w:val="restart"/>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高速贴片机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75/1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48.0</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48.6</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49.0</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回流焊</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80/1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52.5</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54.0</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非高压热压夹层机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80/1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53.2</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52.4</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52.6</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单晶硅片串焊机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color w:val="auto"/>
                      <w:kern w:val="2"/>
                      <w:sz w:val="21"/>
                      <w:szCs w:val="21"/>
                      <w:lang w:val="en-US" w:eastAsia="zh-CN" w:bidi="ar-SA"/>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47.5</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49.0</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移动式焊烟净化器1#</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52.5</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54.2</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激光雕刻</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46.8</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48.6</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49.4</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49.0</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中空合片机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33</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52.8</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52.6</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highlight w:val="none"/>
                      <w:lang w:val="en-US" w:eastAsia="zh-CN" w:bidi="ar-SA"/>
                    </w:rPr>
                    <w:t>人工补焊机1#</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47.8</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48.0</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移动式焊烟净化器2#</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52.8</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53.0</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53.6</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人工补焊机2#</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47.1</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47.7</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移动式焊烟净化器3#</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52.1</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52.7</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53.6</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人工补焊机3#</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47.6</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移动式焊烟净化器4#</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52.6</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53.6</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pStyle w:val="98"/>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lang w:val="en-US" w:eastAsia="zh-CN"/>
                    </w:rPr>
                    <w:t>废气处理设施风机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64.9</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62.2</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62.2</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color w:val="auto"/>
                      <w:sz w:val="21"/>
                      <w:szCs w:val="21"/>
                    </w:rPr>
                  </w:pPr>
                </w:p>
              </w:tc>
              <w:tc>
                <w:tcPr>
                  <w:tcW w:w="176"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167" w:type="pct"/>
                  <w:vMerge w:val="continue"/>
                  <w:vAlign w:val="center"/>
                </w:tcPr>
                <w:p>
                  <w:pPr>
                    <w:jc w:val="center"/>
                    <w:rPr>
                      <w:rFonts w:hint="default" w:ascii="Times New Roman" w:hAnsi="Times New Roman" w:eastAsia="宋体" w:cs="Times New Roman"/>
                      <w:color w:val="auto"/>
                      <w:sz w:val="21"/>
                      <w:szCs w:val="21"/>
                    </w:rPr>
                  </w:pPr>
                </w:p>
              </w:tc>
              <w:tc>
                <w:tcPr>
                  <w:tcW w:w="181" w:type="pct"/>
                  <w:vMerge w:val="continue"/>
                  <w:vAlign w:val="center"/>
                </w:tcPr>
                <w:p>
                  <w:pPr>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16</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通风风机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95</w:t>
                  </w:r>
                  <w:r>
                    <w:rPr>
                      <w:rFonts w:hint="default" w:ascii="Times New Roman" w:hAnsi="Times New Roman" w:eastAsia="宋体" w:cs="Times New Roman"/>
                      <w:color w:val="auto"/>
                      <w:sz w:val="21"/>
                      <w:szCs w:val="21"/>
                      <w:lang w:val="en-US" w:eastAsia="zh-CN"/>
                    </w:rPr>
                    <w:t>/1</w:t>
                  </w:r>
                </w:p>
              </w:tc>
              <w:tc>
                <w:tcPr>
                  <w:tcW w:w="294"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厂房内专用排风机房布置、基础减振、定期维护</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66.7</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71.3</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81.2</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81.2</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76" w:type="pct"/>
                  <w:vMerge w:val="restart"/>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四层厂房设备</w:t>
                  </w: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全自动钢网印刷机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75/1</w:t>
                  </w:r>
                </w:p>
              </w:tc>
              <w:tc>
                <w:tcPr>
                  <w:tcW w:w="294" w:type="pct"/>
                  <w:vMerge w:val="restar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厂房内布置、基础减振、定期维护</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37</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49.7</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49.2</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49.8</w:t>
                  </w:r>
                </w:p>
              </w:tc>
              <w:tc>
                <w:tcPr>
                  <w:tcW w:w="136" w:type="pct"/>
                  <w:vMerge w:val="restart"/>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高速贴片机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75/1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48.6</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52.7</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19</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回流焊</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80/1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54.0</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57.7</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非高压热压夹层机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80/1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54.9</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21</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单晶硅片串焊机</w:t>
                  </w:r>
                </w:p>
              </w:tc>
              <w:tc>
                <w:tcPr>
                  <w:tcW w:w="269" w:type="pct"/>
                  <w:vAlign w:val="center"/>
                </w:tcPr>
                <w:p>
                  <w:pPr>
                    <w:pStyle w:val="98"/>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color w:val="auto"/>
                      <w:kern w:val="2"/>
                      <w:sz w:val="21"/>
                      <w:szCs w:val="21"/>
                      <w:lang w:val="en-US" w:eastAsia="zh-CN" w:bidi="ar-SA"/>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47.9</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52.7</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移动式焊烟净化器1#</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52.8</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54.1</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58.2</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23</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激光雕刻</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46.8</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49.4</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51.1</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52.7</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中空合片机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33</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17</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33</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52.9</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54.2</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52.5</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人工补焊机1#</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48.5</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50.9</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移动式焊烟净化器2#</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52.0</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53.4</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53.9</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56.3</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27</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人工补焊机2#</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47.1</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48.3</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48.7</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50.9</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移动式焊烟净化器3#</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28</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22</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52.1</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53.2</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56.3</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29</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人工补焊机3#</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47.2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48.2</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48.5</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50.9</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移动式焊烟净化器4#</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10.5</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7.5</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53.1</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53.6</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56.3</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31</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pStyle w:val="98"/>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废气处理设施风机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90</w:t>
                  </w:r>
                  <w:r>
                    <w:rPr>
                      <w:rFonts w:hint="default" w:ascii="Times New Roman" w:hAnsi="Times New Roman" w:eastAsia="宋体" w:cs="Times New Roman"/>
                      <w:color w:val="auto"/>
                      <w:sz w:val="21"/>
                      <w:szCs w:val="21"/>
                      <w:lang w:val="en-US" w:eastAsia="zh-CN"/>
                    </w:rPr>
                    <w:t>/1</w:t>
                  </w:r>
                </w:p>
              </w:tc>
              <w:tc>
                <w:tcPr>
                  <w:tcW w:w="29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23.6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26</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62.2</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64.9</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62.8</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63.5</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Merge w:val="continue"/>
                  <w:vAlign w:val="center"/>
                </w:tcPr>
                <w:p>
                  <w:pPr>
                    <w:jc w:val="center"/>
                    <w:rPr>
                      <w:rFonts w:hint="default" w:ascii="Times New Roman" w:hAnsi="Times New Roman" w:eastAsia="宋体" w:cs="Times New Roman"/>
                      <w:i w:val="0"/>
                      <w:iCs w:val="0"/>
                      <w:color w:val="auto"/>
                      <w:kern w:val="0"/>
                      <w:sz w:val="21"/>
                      <w:szCs w:val="21"/>
                      <w:u w:val="none"/>
                      <w:lang w:val="en-US" w:eastAsia="zh-CN" w:bidi="ar"/>
                    </w:rPr>
                  </w:pP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w:t>
                  </w:r>
                </w:p>
              </w:tc>
              <w:tc>
                <w:tcPr>
                  <w:tcW w:w="176" w:type="pct"/>
                  <w:vMerge w:val="continue"/>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rPr>
                  </w:pPr>
                </w:p>
              </w:tc>
              <w:tc>
                <w:tcPr>
                  <w:tcW w:w="438" w:type="pct"/>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通风风机</w:t>
                  </w:r>
                </w:p>
              </w:tc>
              <w:tc>
                <w:tcPr>
                  <w:tcW w:w="26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95</w:t>
                  </w:r>
                  <w:r>
                    <w:rPr>
                      <w:rFonts w:hint="default" w:ascii="Times New Roman" w:hAnsi="Times New Roman" w:eastAsia="宋体" w:cs="Times New Roman"/>
                      <w:color w:val="auto"/>
                      <w:sz w:val="21"/>
                      <w:szCs w:val="21"/>
                      <w:lang w:val="en-US" w:eastAsia="zh-CN"/>
                    </w:rPr>
                    <w:t>/1</w:t>
                  </w:r>
                </w:p>
              </w:tc>
              <w:tc>
                <w:tcPr>
                  <w:tcW w:w="294"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厂房内专用排风机房布置、基础减振、定期维护</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21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08"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23.5</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w:t>
                  </w:r>
                </w:p>
              </w:tc>
              <w:tc>
                <w:tcPr>
                  <w:tcW w:w="18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w:t>
                  </w:r>
                </w:p>
              </w:tc>
              <w:tc>
                <w:tcPr>
                  <w:tcW w:w="167"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p>
              </w:tc>
              <w:tc>
                <w:tcPr>
                  <w:tcW w:w="176"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66.7</w:t>
                  </w:r>
                </w:p>
              </w:tc>
              <w:tc>
                <w:tcPr>
                  <w:tcW w:w="249"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76.7</w:t>
                  </w:r>
                </w:p>
              </w:tc>
              <w:tc>
                <w:tcPr>
                  <w:tcW w:w="244"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79.5</w:t>
                  </w:r>
                </w:p>
              </w:tc>
              <w:tc>
                <w:tcPr>
                  <w:tcW w:w="231"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72.7</w:t>
                  </w:r>
                </w:p>
              </w:tc>
              <w:tc>
                <w:tcPr>
                  <w:tcW w:w="136"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285" w:type="pct"/>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76"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181"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c>
                <w:tcPr>
                  <w:tcW w:w="267" w:type="pct"/>
                  <w:vMerge w:val="continue"/>
                  <w:vAlign w:val="center"/>
                </w:tcPr>
                <w:p>
                  <w:pPr>
                    <w:pStyle w:val="28"/>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rPr>
                      <w:rFonts w:hint="default" w:ascii="Times New Roman" w:hAnsi="Times New Roman" w:eastAsia="宋体" w:cs="Times New Roman"/>
                      <w:color w:val="auto"/>
                      <w:sz w:val="21"/>
                      <w:szCs w:val="21"/>
                    </w:rPr>
                  </w:pPr>
                </w:p>
              </w:tc>
            </w:tr>
          </w:tbl>
          <w:p>
            <w:pPr>
              <w:keepNext/>
              <w:keepLines w:val="0"/>
              <w:pageBreakBefore w:val="0"/>
              <w:widowControl w:val="0"/>
              <w:kinsoku/>
              <w:wordWrap/>
              <w:overflowPunct/>
              <w:topLinePunct w:val="0"/>
              <w:autoSpaceDE/>
              <w:autoSpaceDN/>
              <w:bidi w:val="0"/>
              <w:adjustRightInd w:val="0"/>
              <w:snapToGrid w:val="0"/>
              <w:spacing w:line="240" w:lineRule="auto"/>
              <w:jc w:val="left"/>
              <w:textAlignment w:val="auto"/>
              <w:outlineLvl w:val="1"/>
              <w:rPr>
                <w:color w:val="auto"/>
                <w:sz w:val="24"/>
              </w:rPr>
            </w:pPr>
            <w:r>
              <w:rPr>
                <w:rFonts w:hint="eastAsia"/>
                <w:color w:val="auto"/>
                <w:sz w:val="18"/>
                <w:szCs w:val="18"/>
              </w:rPr>
              <w:t>注：①以</w:t>
            </w:r>
            <w:r>
              <w:rPr>
                <w:rFonts w:hint="eastAsia"/>
                <w:color w:val="auto"/>
                <w:sz w:val="18"/>
                <w:szCs w:val="18"/>
                <w:lang w:val="en-US" w:eastAsia="zh-CN"/>
              </w:rPr>
              <w:t>厂房</w:t>
            </w:r>
            <w:r>
              <w:rPr>
                <w:rFonts w:hint="eastAsia"/>
                <w:color w:val="auto"/>
                <w:sz w:val="18"/>
                <w:szCs w:val="18"/>
              </w:rPr>
              <w:t>西南角为原点（0，0，0），坐标系与正北夹角为</w:t>
            </w:r>
            <w:r>
              <w:rPr>
                <w:rFonts w:hint="eastAsia"/>
                <w:color w:val="auto"/>
                <w:sz w:val="18"/>
                <w:szCs w:val="18"/>
                <w:lang w:val="en-US" w:eastAsia="zh-CN"/>
              </w:rPr>
              <w:t>0</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厂房东西长50m、一层南北宽30m、四层南北宽18m</w:t>
            </w:r>
            <w:r>
              <w:rPr>
                <w:rFonts w:hint="eastAsia"/>
                <w:color w:val="auto"/>
                <w:sz w:val="18"/>
                <w:szCs w:val="18"/>
              </w:rPr>
              <w:t>。</w:t>
            </w:r>
          </w:p>
        </w:tc>
      </w:tr>
    </w:tbl>
    <w:p>
      <w:pPr>
        <w:adjustRightInd w:val="0"/>
        <w:snapToGrid w:val="0"/>
        <w:jc w:val="center"/>
        <w:rPr>
          <w:b/>
          <w:bCs/>
          <w:color w:val="auto"/>
          <w:sz w:val="24"/>
        </w:rPr>
        <w:sectPr>
          <w:pgSz w:w="16840" w:h="11907" w:orient="landscape"/>
          <w:pgMar w:top="1531" w:right="1701" w:bottom="1531" w:left="2127" w:header="851" w:footer="850" w:gutter="0"/>
          <w:pgBorders>
            <w:top w:val="none" w:sz="0" w:space="0"/>
            <w:left w:val="none" w:sz="0" w:space="0"/>
            <w:bottom w:val="none" w:sz="0" w:space="0"/>
            <w:right w:val="none" w:sz="0" w:space="0"/>
          </w:pgBorders>
          <w:cols w:space="0" w:num="1"/>
          <w:rtlGutter w:val="0"/>
          <w:docGrid w:linePitch="312" w:charSpace="0"/>
        </w:sectPr>
      </w:pP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5"/>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9" w:hRule="atLeast"/>
          <w:jc w:val="center"/>
        </w:trPr>
        <w:tc>
          <w:tcPr>
            <w:tcW w:w="345" w:type="dxa"/>
            <w:tcBorders>
              <w:left w:val="single" w:color="auto" w:sz="4" w:space="0"/>
            </w:tcBorders>
            <w:tcMar>
              <w:left w:w="28" w:type="dxa"/>
              <w:right w:w="28" w:type="dxa"/>
            </w:tcMar>
            <w:vAlign w:val="center"/>
          </w:tcPr>
          <w:p>
            <w:pPr>
              <w:rPr>
                <w:b/>
                <w:bCs/>
                <w:color w:val="auto"/>
                <w:sz w:val="24"/>
              </w:rPr>
            </w:pPr>
            <w:r>
              <w:rPr>
                <w:color w:val="auto"/>
              </w:rPr>
              <w:br w:type="page"/>
            </w:r>
            <w:r>
              <w:rPr>
                <w:b/>
                <w:bCs/>
                <w:color w:val="auto"/>
                <w:sz w:val="24"/>
              </w:rPr>
              <w:t>运营</w:t>
            </w:r>
          </w:p>
          <w:p>
            <w:pPr>
              <w:adjustRightInd w:val="0"/>
              <w:snapToGrid w:val="0"/>
              <w:jc w:val="center"/>
              <w:rPr>
                <w:b/>
                <w:bCs/>
                <w:color w:val="auto"/>
                <w:sz w:val="24"/>
              </w:rPr>
            </w:pPr>
            <w:r>
              <w:rPr>
                <w:b/>
                <w:bCs/>
                <w:color w:val="auto"/>
                <w:sz w:val="24"/>
              </w:rPr>
              <w:t>期环</w:t>
            </w:r>
          </w:p>
          <w:p>
            <w:pPr>
              <w:adjustRightInd w:val="0"/>
              <w:snapToGrid w:val="0"/>
              <w:jc w:val="center"/>
              <w:rPr>
                <w:b/>
                <w:bCs/>
                <w:color w:val="auto"/>
                <w:sz w:val="24"/>
              </w:rPr>
            </w:pPr>
            <w:r>
              <w:rPr>
                <w:b/>
                <w:bCs/>
                <w:color w:val="auto"/>
                <w:sz w:val="24"/>
              </w:rPr>
              <w:t>境影</w:t>
            </w:r>
          </w:p>
          <w:p>
            <w:pPr>
              <w:adjustRightInd w:val="0"/>
              <w:snapToGrid w:val="0"/>
              <w:jc w:val="center"/>
              <w:rPr>
                <w:b/>
                <w:bCs/>
                <w:color w:val="auto"/>
                <w:sz w:val="24"/>
              </w:rPr>
            </w:pPr>
            <w:r>
              <w:rPr>
                <w:b/>
                <w:bCs/>
                <w:color w:val="auto"/>
                <w:sz w:val="24"/>
              </w:rPr>
              <w:t>响和</w:t>
            </w:r>
          </w:p>
          <w:p>
            <w:pPr>
              <w:adjustRightInd w:val="0"/>
              <w:snapToGrid w:val="0"/>
              <w:jc w:val="center"/>
              <w:rPr>
                <w:b/>
                <w:bCs/>
                <w:color w:val="auto"/>
                <w:sz w:val="24"/>
              </w:rPr>
            </w:pPr>
            <w:r>
              <w:rPr>
                <w:b/>
                <w:bCs/>
                <w:color w:val="auto"/>
                <w:sz w:val="24"/>
              </w:rPr>
              <w:t>保护</w:t>
            </w:r>
          </w:p>
          <w:p>
            <w:pPr>
              <w:adjustRightInd w:val="0"/>
              <w:snapToGrid w:val="0"/>
              <w:jc w:val="center"/>
              <w:rPr>
                <w:bCs/>
                <w:color w:val="auto"/>
                <w:szCs w:val="21"/>
              </w:rPr>
            </w:pPr>
            <w:r>
              <w:rPr>
                <w:b/>
                <w:bCs/>
                <w:color w:val="auto"/>
                <w:sz w:val="24"/>
              </w:rPr>
              <w:t>措施</w:t>
            </w:r>
          </w:p>
        </w:tc>
        <w:tc>
          <w:tcPr>
            <w:tcW w:w="8636" w:type="dxa"/>
            <w:vAlign w:val="center"/>
          </w:tcPr>
          <w:p>
            <w:pPr>
              <w:spacing w:line="240" w:lineRule="auto"/>
              <w:ind w:firstLine="0" w:firstLineChars="0"/>
              <w:jc w:val="center"/>
              <w:rPr>
                <w:b/>
                <w:color w:val="auto"/>
              </w:rPr>
            </w:pPr>
            <w:r>
              <w:rPr>
                <w:rFonts w:hint="eastAsia"/>
                <w:b/>
                <w:color w:val="auto"/>
              </w:rPr>
              <w:t>表</w:t>
            </w:r>
            <w:r>
              <w:rPr>
                <w:rFonts w:hint="eastAsia"/>
                <w:b/>
                <w:color w:val="auto"/>
                <w:lang w:val="en-US" w:eastAsia="zh-CN"/>
              </w:rPr>
              <w:t xml:space="preserve">4-9   </w:t>
            </w:r>
            <w:r>
              <w:rPr>
                <w:rFonts w:hint="eastAsia"/>
                <w:b/>
                <w:color w:val="auto"/>
              </w:rPr>
              <w:t>工业企业主要噪声源强调查清单（室外）</w:t>
            </w:r>
            <w:r>
              <w:rPr>
                <w:rFonts w:hint="eastAsia"/>
                <w:b/>
                <w:color w:val="auto"/>
                <w:lang w:val="en-US" w:eastAsia="zh-CN"/>
              </w:rPr>
              <w:t xml:space="preserve">  </w:t>
            </w:r>
            <w:r>
              <w:rPr>
                <w:rFonts w:hint="eastAsia"/>
                <w:b/>
                <w:bCs/>
                <w:color w:val="auto"/>
              </w:rPr>
              <w:t>单位：（</w:t>
            </w:r>
            <w:r>
              <w:rPr>
                <w:b/>
                <w:bCs/>
                <w:color w:val="auto"/>
              </w:rPr>
              <w:t>dB</w:t>
            </w:r>
            <w:r>
              <w:rPr>
                <w:rFonts w:hint="eastAsia"/>
                <w:b/>
                <w:bCs/>
                <w:color w:val="auto"/>
              </w:rPr>
              <w:t>（</w:t>
            </w:r>
            <w:r>
              <w:rPr>
                <w:b/>
                <w:bCs/>
                <w:color w:val="auto"/>
              </w:rPr>
              <w:t>A</w:t>
            </w:r>
            <w:r>
              <w:rPr>
                <w:rFonts w:hint="eastAsia"/>
                <w:b/>
                <w:bCs/>
                <w:color w:val="auto"/>
              </w:rPr>
              <w:t>）/m）</w:t>
            </w:r>
          </w:p>
          <w:tbl>
            <w:tblPr>
              <w:tblStyle w:val="29"/>
              <w:tblW w:w="4997"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0"/>
              <w:gridCol w:w="600"/>
              <w:gridCol w:w="600"/>
              <w:gridCol w:w="579"/>
              <w:gridCol w:w="1307"/>
              <w:gridCol w:w="1449"/>
              <w:gridCol w:w="1596"/>
              <w:gridCol w:w="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69"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序号</w:t>
                  </w:r>
                </w:p>
              </w:tc>
              <w:tc>
                <w:tcPr>
                  <w:tcW w:w="671"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声源名称</w:t>
                  </w:r>
                </w:p>
              </w:tc>
              <w:tc>
                <w:tcPr>
                  <w:tcW w:w="1057" w:type="pct"/>
                  <w:gridSpan w:val="3"/>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空间相对位置/m</w:t>
                  </w:r>
                </w:p>
              </w:tc>
              <w:tc>
                <w:tcPr>
                  <w:tcW w:w="776"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声压级/距离声源距离</w:t>
                  </w:r>
                </w:p>
              </w:tc>
              <w:tc>
                <w:tcPr>
                  <w:tcW w:w="860"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声源控制措施</w:t>
                  </w:r>
                </w:p>
              </w:tc>
              <w:tc>
                <w:tcPr>
                  <w:tcW w:w="948"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处理后声级/距离声源距离</w:t>
                  </w:r>
                </w:p>
              </w:tc>
              <w:tc>
                <w:tcPr>
                  <w:tcW w:w="415" w:type="pct"/>
                  <w:vMerge w:val="restar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运行时段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c>
                <w:tcPr>
                  <w:tcW w:w="671"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c>
                <w:tcPr>
                  <w:tcW w:w="356"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X</w:t>
                  </w:r>
                </w:p>
              </w:tc>
              <w:tc>
                <w:tcPr>
                  <w:tcW w:w="356"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Y</w:t>
                  </w:r>
                </w:p>
              </w:tc>
              <w:tc>
                <w:tcPr>
                  <w:tcW w:w="344"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Z</w:t>
                  </w:r>
                </w:p>
              </w:tc>
              <w:tc>
                <w:tcPr>
                  <w:tcW w:w="776"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c>
                <w:tcPr>
                  <w:tcW w:w="860"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c>
                <w:tcPr>
                  <w:tcW w:w="948"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c>
                <w:tcPr>
                  <w:tcW w:w="415" w:type="pct"/>
                  <w:vMerge w:val="continue"/>
                  <w:tcBorders>
                    <w:tl2br w:val="nil"/>
                    <w:tr2bl w:val="nil"/>
                  </w:tcBorders>
                  <w:noWrap/>
                  <w:vAlign w:val="center"/>
                </w:tcPr>
                <w:p>
                  <w:pPr>
                    <w:spacing w:line="240" w:lineRule="auto"/>
                    <w:ind w:firstLine="0" w:firstLineChars="0"/>
                    <w:jc w:val="center"/>
                    <w:rPr>
                      <w:b w:val="0"/>
                      <w:bCs/>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9"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1</w:t>
                  </w:r>
                </w:p>
              </w:tc>
              <w:tc>
                <w:tcPr>
                  <w:tcW w:w="671" w:type="pct"/>
                  <w:tcBorders>
                    <w:tl2br w:val="nil"/>
                    <w:tr2bl w:val="nil"/>
                  </w:tcBorders>
                  <w:noWrap/>
                  <w:vAlign w:val="center"/>
                </w:tcPr>
                <w:p>
                  <w:pPr>
                    <w:spacing w:line="240" w:lineRule="auto"/>
                    <w:ind w:firstLine="0" w:firstLineChars="0"/>
                    <w:jc w:val="center"/>
                    <w:rPr>
                      <w:rFonts w:hint="default" w:eastAsia="宋体"/>
                      <w:b w:val="0"/>
                      <w:bCs/>
                      <w:color w:val="auto"/>
                      <w:sz w:val="21"/>
                      <w:szCs w:val="21"/>
                      <w:lang w:val="en-US" w:eastAsia="zh-CN"/>
                    </w:rPr>
                  </w:pPr>
                  <w:r>
                    <w:rPr>
                      <w:rFonts w:hint="eastAsia"/>
                      <w:b w:val="0"/>
                      <w:bCs/>
                      <w:color w:val="auto"/>
                      <w:sz w:val="21"/>
                      <w:szCs w:val="21"/>
                      <w:lang w:val="en-US" w:eastAsia="zh-CN"/>
                    </w:rPr>
                    <w:t>空调室外风机1#</w:t>
                  </w:r>
                </w:p>
              </w:tc>
              <w:tc>
                <w:tcPr>
                  <w:tcW w:w="356" w:type="pct"/>
                  <w:tcBorders>
                    <w:tl2br w:val="nil"/>
                    <w:tr2bl w:val="nil"/>
                  </w:tcBorders>
                  <w:noWrap/>
                  <w:vAlign w:val="center"/>
                </w:tcPr>
                <w:p>
                  <w:pPr>
                    <w:spacing w:line="240" w:lineRule="auto"/>
                    <w:ind w:firstLine="0" w:firstLineChars="0"/>
                    <w:jc w:val="center"/>
                    <w:rPr>
                      <w:rFonts w:hint="default" w:eastAsia="宋体"/>
                      <w:b w:val="0"/>
                      <w:bCs/>
                      <w:color w:val="auto"/>
                      <w:sz w:val="21"/>
                      <w:szCs w:val="21"/>
                      <w:lang w:val="en-US" w:eastAsia="zh-CN"/>
                    </w:rPr>
                  </w:pPr>
                  <w:r>
                    <w:rPr>
                      <w:rFonts w:hint="eastAsia"/>
                      <w:b w:val="0"/>
                      <w:bCs/>
                      <w:color w:val="auto"/>
                      <w:sz w:val="21"/>
                      <w:szCs w:val="21"/>
                      <w:lang w:val="en-US" w:eastAsia="zh-CN"/>
                    </w:rPr>
                    <w:t>10</w:t>
                  </w:r>
                </w:p>
              </w:tc>
              <w:tc>
                <w:tcPr>
                  <w:tcW w:w="356" w:type="pct"/>
                  <w:tcBorders>
                    <w:tl2br w:val="nil"/>
                    <w:tr2bl w:val="nil"/>
                  </w:tcBorders>
                  <w:noWrap/>
                  <w:vAlign w:val="center"/>
                </w:tcPr>
                <w:p>
                  <w:pPr>
                    <w:spacing w:line="240" w:lineRule="auto"/>
                    <w:ind w:firstLine="0" w:firstLineChars="0"/>
                    <w:jc w:val="center"/>
                    <w:rPr>
                      <w:rFonts w:hint="default" w:eastAsia="宋体"/>
                      <w:b w:val="0"/>
                      <w:bCs/>
                      <w:color w:val="auto"/>
                      <w:sz w:val="21"/>
                      <w:szCs w:val="21"/>
                      <w:lang w:val="en-US" w:eastAsia="zh-CN"/>
                    </w:rPr>
                  </w:pPr>
                  <w:r>
                    <w:rPr>
                      <w:rFonts w:hint="eastAsia"/>
                      <w:b w:val="0"/>
                      <w:bCs/>
                      <w:color w:val="auto"/>
                      <w:sz w:val="21"/>
                      <w:szCs w:val="21"/>
                      <w:lang w:val="en-US" w:eastAsia="zh-CN"/>
                    </w:rPr>
                    <w:t>10</w:t>
                  </w:r>
                </w:p>
              </w:tc>
              <w:tc>
                <w:tcPr>
                  <w:tcW w:w="344" w:type="pct"/>
                  <w:tcBorders>
                    <w:tl2br w:val="nil"/>
                    <w:tr2bl w:val="nil"/>
                  </w:tcBorders>
                  <w:noWrap/>
                  <w:vAlign w:val="center"/>
                </w:tcPr>
                <w:p>
                  <w:pPr>
                    <w:spacing w:line="240" w:lineRule="auto"/>
                    <w:ind w:firstLine="0" w:firstLineChars="0"/>
                    <w:jc w:val="center"/>
                    <w:rPr>
                      <w:rFonts w:hint="default" w:eastAsia="宋体"/>
                      <w:b w:val="0"/>
                      <w:bCs/>
                      <w:color w:val="auto"/>
                      <w:sz w:val="21"/>
                      <w:szCs w:val="21"/>
                      <w:lang w:val="en-US" w:eastAsia="zh-CN"/>
                    </w:rPr>
                  </w:pPr>
                  <w:r>
                    <w:rPr>
                      <w:rFonts w:hint="eastAsia"/>
                      <w:b w:val="0"/>
                      <w:bCs/>
                      <w:color w:val="auto"/>
                      <w:sz w:val="21"/>
                      <w:szCs w:val="21"/>
                      <w:lang w:val="en-US" w:eastAsia="zh-CN"/>
                    </w:rPr>
                    <w:t>25</w:t>
                  </w:r>
                </w:p>
              </w:tc>
              <w:tc>
                <w:tcPr>
                  <w:tcW w:w="776"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lang w:val="en-US" w:eastAsia="zh-CN"/>
                    </w:rPr>
                    <w:t>95</w:t>
                  </w:r>
                  <w:r>
                    <w:rPr>
                      <w:rFonts w:hint="eastAsia"/>
                      <w:b w:val="0"/>
                      <w:bCs/>
                      <w:color w:val="auto"/>
                      <w:sz w:val="21"/>
                      <w:szCs w:val="21"/>
                    </w:rPr>
                    <w:t>/1</w:t>
                  </w:r>
                </w:p>
              </w:tc>
              <w:tc>
                <w:tcPr>
                  <w:tcW w:w="860"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rPr>
                    <w:t>低噪声设备、基础减振</w:t>
                  </w:r>
                </w:p>
              </w:tc>
              <w:tc>
                <w:tcPr>
                  <w:tcW w:w="948" w:type="pct"/>
                  <w:tcBorders>
                    <w:tl2br w:val="nil"/>
                    <w:tr2bl w:val="nil"/>
                  </w:tcBorders>
                  <w:noWrap/>
                  <w:vAlign w:val="center"/>
                </w:tcPr>
                <w:p>
                  <w:pPr>
                    <w:spacing w:line="240" w:lineRule="auto"/>
                    <w:ind w:firstLine="0" w:firstLineChars="0"/>
                    <w:jc w:val="center"/>
                    <w:rPr>
                      <w:b w:val="0"/>
                      <w:bCs/>
                      <w:color w:val="auto"/>
                      <w:sz w:val="21"/>
                      <w:szCs w:val="21"/>
                    </w:rPr>
                  </w:pPr>
                  <w:r>
                    <w:rPr>
                      <w:rFonts w:hint="eastAsia"/>
                      <w:b w:val="0"/>
                      <w:bCs/>
                      <w:color w:val="auto"/>
                      <w:sz w:val="21"/>
                      <w:szCs w:val="21"/>
                      <w:lang w:val="en-US" w:eastAsia="zh-CN"/>
                    </w:rPr>
                    <w:t>85</w:t>
                  </w:r>
                  <w:r>
                    <w:rPr>
                      <w:rFonts w:hint="eastAsia"/>
                      <w:b w:val="0"/>
                      <w:bCs/>
                      <w:color w:val="auto"/>
                      <w:sz w:val="21"/>
                      <w:szCs w:val="21"/>
                    </w:rPr>
                    <w:t>/1</w:t>
                  </w:r>
                </w:p>
              </w:tc>
              <w:tc>
                <w:tcPr>
                  <w:tcW w:w="415" w:type="pct"/>
                  <w:tcBorders>
                    <w:tl2br w:val="nil"/>
                    <w:tr2bl w:val="nil"/>
                  </w:tcBorders>
                  <w:noWrap/>
                  <w:vAlign w:val="center"/>
                </w:tcPr>
                <w:p>
                  <w:pPr>
                    <w:spacing w:line="240" w:lineRule="auto"/>
                    <w:ind w:firstLine="0" w:firstLineChars="0"/>
                    <w:jc w:val="center"/>
                    <w:rPr>
                      <w:b w:val="0"/>
                      <w:bCs/>
                      <w:color w:val="auto"/>
                      <w:sz w:val="21"/>
                      <w:szCs w:val="21"/>
                    </w:rPr>
                  </w:pPr>
                  <w:r>
                    <w:rPr>
                      <w:b w:val="0"/>
                      <w:bCs/>
                      <w:color w:val="auto"/>
                      <w:sz w:val="21"/>
                      <w:szCs w:val="21"/>
                    </w:rPr>
                    <w:t>连续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9" w:type="pct"/>
                  <w:tcBorders>
                    <w:tl2br w:val="nil"/>
                    <w:tr2bl w:val="nil"/>
                  </w:tcBorders>
                  <w:noWrap/>
                  <w:vAlign w:val="center"/>
                </w:tcPr>
                <w:p>
                  <w:pPr>
                    <w:spacing w:line="240" w:lineRule="auto"/>
                    <w:ind w:firstLine="0" w:firstLineChars="0"/>
                    <w:jc w:val="center"/>
                    <w:rPr>
                      <w:rFonts w:hint="eastAsia" w:eastAsia="宋体"/>
                      <w:b w:val="0"/>
                      <w:bCs/>
                      <w:color w:val="auto"/>
                      <w:sz w:val="21"/>
                      <w:szCs w:val="21"/>
                      <w:lang w:val="en-US" w:eastAsia="zh-CN"/>
                    </w:rPr>
                  </w:pPr>
                  <w:r>
                    <w:rPr>
                      <w:rFonts w:hint="eastAsia"/>
                      <w:b w:val="0"/>
                      <w:bCs/>
                      <w:color w:val="auto"/>
                      <w:sz w:val="21"/>
                      <w:szCs w:val="21"/>
                      <w:lang w:val="en-US" w:eastAsia="zh-CN"/>
                    </w:rPr>
                    <w:t>2</w:t>
                  </w:r>
                </w:p>
              </w:tc>
              <w:tc>
                <w:tcPr>
                  <w:tcW w:w="671" w:type="pct"/>
                  <w:tcBorders>
                    <w:tl2br w:val="nil"/>
                    <w:tr2bl w:val="nil"/>
                  </w:tcBorders>
                  <w:noWrap/>
                  <w:vAlign w:val="center"/>
                </w:tcPr>
                <w:p>
                  <w:pPr>
                    <w:spacing w:line="240" w:lineRule="auto"/>
                    <w:ind w:firstLine="0" w:firstLineChars="0"/>
                    <w:jc w:val="center"/>
                    <w:rPr>
                      <w:rFonts w:hint="eastAsia"/>
                      <w:b w:val="0"/>
                      <w:bCs/>
                      <w:color w:val="auto"/>
                      <w:sz w:val="21"/>
                      <w:szCs w:val="21"/>
                      <w:lang w:val="en-US" w:eastAsia="zh-CN"/>
                    </w:rPr>
                  </w:pPr>
                  <w:r>
                    <w:rPr>
                      <w:rFonts w:hint="eastAsia"/>
                      <w:b w:val="0"/>
                      <w:bCs/>
                      <w:color w:val="auto"/>
                      <w:sz w:val="21"/>
                      <w:szCs w:val="21"/>
                      <w:lang w:val="en-US" w:eastAsia="zh-CN"/>
                    </w:rPr>
                    <w:t>空调室外风机2#</w:t>
                  </w:r>
                </w:p>
              </w:tc>
              <w:tc>
                <w:tcPr>
                  <w:tcW w:w="356" w:type="pct"/>
                  <w:tcBorders>
                    <w:tl2br w:val="nil"/>
                    <w:tr2bl w:val="nil"/>
                  </w:tcBorders>
                  <w:noWrap/>
                  <w:vAlign w:val="center"/>
                </w:tcPr>
                <w:p>
                  <w:pPr>
                    <w:spacing w:line="240" w:lineRule="auto"/>
                    <w:ind w:firstLine="0" w:firstLineChars="0"/>
                    <w:jc w:val="center"/>
                    <w:rPr>
                      <w:rFonts w:hint="default"/>
                      <w:b w:val="0"/>
                      <w:bCs/>
                      <w:color w:val="auto"/>
                      <w:sz w:val="21"/>
                      <w:szCs w:val="21"/>
                      <w:lang w:val="en-US" w:eastAsia="zh-CN"/>
                    </w:rPr>
                  </w:pPr>
                  <w:r>
                    <w:rPr>
                      <w:rFonts w:hint="eastAsia"/>
                      <w:b w:val="0"/>
                      <w:bCs/>
                      <w:color w:val="auto"/>
                      <w:sz w:val="21"/>
                      <w:szCs w:val="21"/>
                      <w:lang w:val="en-US" w:eastAsia="zh-CN"/>
                    </w:rPr>
                    <w:t>14</w:t>
                  </w:r>
                </w:p>
              </w:tc>
              <w:tc>
                <w:tcPr>
                  <w:tcW w:w="356" w:type="pct"/>
                  <w:tcBorders>
                    <w:tl2br w:val="nil"/>
                    <w:tr2bl w:val="nil"/>
                  </w:tcBorders>
                  <w:noWrap/>
                  <w:vAlign w:val="center"/>
                </w:tcPr>
                <w:p>
                  <w:pPr>
                    <w:spacing w:line="240" w:lineRule="auto"/>
                    <w:ind w:firstLine="0" w:firstLineChars="0"/>
                    <w:jc w:val="center"/>
                    <w:rPr>
                      <w:rFonts w:hint="default"/>
                      <w:b w:val="0"/>
                      <w:bCs/>
                      <w:color w:val="auto"/>
                      <w:sz w:val="21"/>
                      <w:szCs w:val="21"/>
                      <w:lang w:val="en-US" w:eastAsia="zh-CN"/>
                    </w:rPr>
                  </w:pPr>
                  <w:r>
                    <w:rPr>
                      <w:rFonts w:hint="eastAsia"/>
                      <w:b w:val="0"/>
                      <w:bCs/>
                      <w:color w:val="auto"/>
                      <w:sz w:val="21"/>
                      <w:szCs w:val="21"/>
                      <w:lang w:val="en-US" w:eastAsia="zh-CN"/>
                    </w:rPr>
                    <w:t>10</w:t>
                  </w:r>
                </w:p>
              </w:tc>
              <w:tc>
                <w:tcPr>
                  <w:tcW w:w="344" w:type="pct"/>
                  <w:tcBorders>
                    <w:tl2br w:val="nil"/>
                    <w:tr2bl w:val="nil"/>
                  </w:tcBorders>
                  <w:noWrap/>
                  <w:vAlign w:val="center"/>
                </w:tcPr>
                <w:p>
                  <w:pPr>
                    <w:spacing w:line="240" w:lineRule="auto"/>
                    <w:ind w:firstLine="0" w:firstLineChars="0"/>
                    <w:jc w:val="center"/>
                    <w:rPr>
                      <w:rFonts w:hint="default" w:eastAsia="宋体"/>
                      <w:b w:val="0"/>
                      <w:bCs/>
                      <w:color w:val="auto"/>
                      <w:sz w:val="21"/>
                      <w:szCs w:val="21"/>
                      <w:lang w:val="en-US" w:eastAsia="zh-CN"/>
                    </w:rPr>
                  </w:pPr>
                  <w:r>
                    <w:rPr>
                      <w:rFonts w:hint="eastAsia"/>
                      <w:b w:val="0"/>
                      <w:bCs/>
                      <w:color w:val="auto"/>
                      <w:sz w:val="21"/>
                      <w:szCs w:val="21"/>
                      <w:lang w:val="en-US" w:eastAsia="zh-CN"/>
                    </w:rPr>
                    <w:t>25</w:t>
                  </w:r>
                </w:p>
              </w:tc>
              <w:tc>
                <w:tcPr>
                  <w:tcW w:w="776" w:type="pct"/>
                  <w:tcBorders>
                    <w:tl2br w:val="nil"/>
                    <w:tr2bl w:val="nil"/>
                  </w:tcBorders>
                  <w:noWrap/>
                  <w:vAlign w:val="center"/>
                </w:tcPr>
                <w:p>
                  <w:pPr>
                    <w:spacing w:line="240" w:lineRule="auto"/>
                    <w:ind w:firstLine="0" w:firstLineChars="0"/>
                    <w:jc w:val="center"/>
                    <w:rPr>
                      <w:rFonts w:hint="eastAsia"/>
                      <w:b w:val="0"/>
                      <w:bCs/>
                      <w:color w:val="auto"/>
                      <w:sz w:val="21"/>
                      <w:szCs w:val="21"/>
                      <w:lang w:val="en-US" w:eastAsia="zh-CN"/>
                    </w:rPr>
                  </w:pPr>
                  <w:r>
                    <w:rPr>
                      <w:rFonts w:hint="eastAsia"/>
                      <w:b w:val="0"/>
                      <w:bCs/>
                      <w:color w:val="auto"/>
                      <w:sz w:val="21"/>
                      <w:szCs w:val="21"/>
                      <w:lang w:val="en-US" w:eastAsia="zh-CN"/>
                    </w:rPr>
                    <w:t>95</w:t>
                  </w:r>
                  <w:r>
                    <w:rPr>
                      <w:rFonts w:hint="eastAsia"/>
                      <w:b w:val="0"/>
                      <w:bCs/>
                      <w:color w:val="auto"/>
                      <w:sz w:val="21"/>
                      <w:szCs w:val="21"/>
                    </w:rPr>
                    <w:t>/1</w:t>
                  </w:r>
                </w:p>
              </w:tc>
              <w:tc>
                <w:tcPr>
                  <w:tcW w:w="860" w:type="pct"/>
                  <w:tcBorders>
                    <w:tl2br w:val="nil"/>
                    <w:tr2bl w:val="nil"/>
                  </w:tcBorders>
                  <w:noWrap/>
                  <w:vAlign w:val="center"/>
                </w:tcPr>
                <w:p>
                  <w:pPr>
                    <w:spacing w:line="240" w:lineRule="auto"/>
                    <w:ind w:firstLine="0" w:firstLineChars="0"/>
                    <w:jc w:val="center"/>
                    <w:rPr>
                      <w:rFonts w:hint="eastAsia"/>
                      <w:b w:val="0"/>
                      <w:bCs/>
                      <w:color w:val="auto"/>
                      <w:sz w:val="21"/>
                      <w:szCs w:val="21"/>
                    </w:rPr>
                  </w:pPr>
                  <w:r>
                    <w:rPr>
                      <w:rFonts w:hint="eastAsia"/>
                      <w:b w:val="0"/>
                      <w:bCs/>
                      <w:color w:val="auto"/>
                      <w:sz w:val="21"/>
                      <w:szCs w:val="21"/>
                    </w:rPr>
                    <w:t>低噪声设备、基础减振</w:t>
                  </w:r>
                </w:p>
              </w:tc>
              <w:tc>
                <w:tcPr>
                  <w:tcW w:w="948" w:type="pct"/>
                  <w:tcBorders>
                    <w:tl2br w:val="nil"/>
                    <w:tr2bl w:val="nil"/>
                  </w:tcBorders>
                  <w:noWrap/>
                  <w:vAlign w:val="center"/>
                </w:tcPr>
                <w:p>
                  <w:pPr>
                    <w:spacing w:line="240" w:lineRule="auto"/>
                    <w:ind w:firstLine="0" w:firstLineChars="0"/>
                    <w:jc w:val="center"/>
                    <w:rPr>
                      <w:rFonts w:hint="eastAsia"/>
                      <w:b w:val="0"/>
                      <w:bCs/>
                      <w:color w:val="auto"/>
                      <w:sz w:val="21"/>
                      <w:szCs w:val="21"/>
                      <w:lang w:val="en-US" w:eastAsia="zh-CN"/>
                    </w:rPr>
                  </w:pPr>
                  <w:r>
                    <w:rPr>
                      <w:rFonts w:hint="eastAsia"/>
                      <w:b w:val="0"/>
                      <w:bCs/>
                      <w:color w:val="auto"/>
                      <w:sz w:val="21"/>
                      <w:szCs w:val="21"/>
                      <w:lang w:val="en-US" w:eastAsia="zh-CN"/>
                    </w:rPr>
                    <w:t>85</w:t>
                  </w:r>
                  <w:r>
                    <w:rPr>
                      <w:rFonts w:hint="eastAsia"/>
                      <w:b w:val="0"/>
                      <w:bCs/>
                      <w:color w:val="auto"/>
                      <w:sz w:val="21"/>
                      <w:szCs w:val="21"/>
                    </w:rPr>
                    <w:t>/1</w:t>
                  </w:r>
                </w:p>
              </w:tc>
              <w:tc>
                <w:tcPr>
                  <w:tcW w:w="415" w:type="pct"/>
                  <w:tcBorders>
                    <w:tl2br w:val="nil"/>
                    <w:tr2bl w:val="nil"/>
                  </w:tcBorders>
                  <w:noWrap/>
                  <w:vAlign w:val="center"/>
                </w:tcPr>
                <w:p>
                  <w:pPr>
                    <w:spacing w:line="240" w:lineRule="auto"/>
                    <w:ind w:firstLine="0" w:firstLineChars="0"/>
                    <w:jc w:val="center"/>
                    <w:rPr>
                      <w:b w:val="0"/>
                      <w:bCs/>
                      <w:color w:val="auto"/>
                      <w:sz w:val="21"/>
                      <w:szCs w:val="21"/>
                    </w:rPr>
                  </w:pPr>
                  <w:r>
                    <w:rPr>
                      <w:b w:val="0"/>
                      <w:bCs/>
                      <w:color w:val="auto"/>
                      <w:sz w:val="21"/>
                      <w:szCs w:val="21"/>
                    </w:rPr>
                    <w:t>连续</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hint="eastAsia"/>
                <w:color w:val="auto"/>
                <w:sz w:val="18"/>
                <w:szCs w:val="18"/>
              </w:rPr>
            </w:pPr>
            <w:r>
              <w:rPr>
                <w:rFonts w:hint="eastAsia"/>
                <w:color w:val="auto"/>
                <w:sz w:val="18"/>
                <w:szCs w:val="18"/>
              </w:rPr>
              <w:t>注：①以</w:t>
            </w:r>
            <w:r>
              <w:rPr>
                <w:rFonts w:hint="eastAsia"/>
                <w:color w:val="auto"/>
                <w:sz w:val="18"/>
                <w:szCs w:val="18"/>
                <w:lang w:val="en-US" w:eastAsia="zh-CN"/>
              </w:rPr>
              <w:t>厂房</w:t>
            </w:r>
            <w:r>
              <w:rPr>
                <w:rFonts w:hint="eastAsia"/>
                <w:color w:val="auto"/>
                <w:sz w:val="18"/>
                <w:szCs w:val="18"/>
              </w:rPr>
              <w:t>西南角为原点（0，0，0），坐标系与正北夹角为</w:t>
            </w:r>
            <w:r>
              <w:rPr>
                <w:rFonts w:hint="eastAsia"/>
                <w:color w:val="auto"/>
                <w:sz w:val="18"/>
                <w:szCs w:val="18"/>
                <w:lang w:val="en-US" w:eastAsia="zh-CN"/>
              </w:rPr>
              <w:t>0</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厂房东西长50m、一层南北宽30m、四层南北宽18m</w:t>
            </w:r>
            <w:r>
              <w:rPr>
                <w:rFonts w:hint="eastAsia"/>
                <w:color w:val="auto"/>
                <w:sz w:val="18"/>
                <w:szCs w:val="18"/>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（2）声环境影响预测</w:t>
            </w:r>
          </w:p>
          <w:p>
            <w:pPr>
              <w:pStyle w:val="59"/>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①室内声源</w:t>
            </w:r>
          </w:p>
          <w:p>
            <w:pPr>
              <w:keepNext w:val="0"/>
              <w:keepLines w:val="0"/>
              <w:pageBreakBefore w:val="0"/>
              <w:widowControl w:val="0"/>
              <w:tabs>
                <w:tab w:val="left" w:pos="840"/>
              </w:tabs>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A．计算车间室内声源靠近围护结构处产生的声压级：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1" o:spt="75" type="#_x0000_t75" style="height:33.75pt;width:136.5pt;" o:ole="t" filled="f" o:preferrelative="t" stroked="f" coordsize="21600,21600">
                  <v:path/>
                  <v:fill on="f" focussize="0,0"/>
                  <v:stroke on="f" joinstyle="miter"/>
                  <v:imagedata r:id="rId21" o:title=""/>
                  <o:lock v:ext="edit" aspectratio="t"/>
                  <w10:wrap type="none"/>
                  <w10:anchorlock/>
                </v:shape>
                <o:OLEObject Type="Embed" ProgID="Equations" ShapeID="_x0000_i1031" DrawAspect="Content" ObjectID="_1468075731" r:id="rId2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i/>
                <w:iCs/>
                <w:color w:val="auto"/>
                <w:sz w:val="24"/>
                <w:szCs w:val="24"/>
              </w:rPr>
              <w:t>Q</w:t>
            </w:r>
            <w:r>
              <w:rPr>
                <w:rFonts w:hint="default" w:ascii="Times New Roman" w:hAnsi="Times New Roman" w:eastAsia="宋体" w:cs="Times New Roman"/>
                <w:color w:val="auto"/>
                <w:sz w:val="24"/>
                <w:szCs w:val="24"/>
              </w:rPr>
              <w:t>—指向性因子；</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W</w:t>
            </w:r>
            <w:r>
              <w:rPr>
                <w:rFonts w:hint="default" w:ascii="Times New Roman" w:hAnsi="Times New Roman" w:eastAsia="宋体" w:cs="Times New Roman"/>
                <w:color w:val="auto"/>
                <w:sz w:val="24"/>
                <w:szCs w:val="24"/>
              </w:rPr>
              <w:t>—室内声源声功率级，dB；</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color w:val="auto"/>
                <w:sz w:val="24"/>
                <w:szCs w:val="24"/>
              </w:rPr>
              <w:t>—房间常数；</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i/>
                <w:iCs/>
                <w:color w:val="auto"/>
                <w:sz w:val="24"/>
                <w:szCs w:val="24"/>
                <w:vertAlign w:val="subscript"/>
              </w:rPr>
              <w:t>1</w:t>
            </w:r>
            <w:r>
              <w:rPr>
                <w:rFonts w:hint="default" w:ascii="Times New Roman" w:hAnsi="Times New Roman" w:eastAsia="宋体" w:cs="Times New Roman"/>
                <w:color w:val="auto"/>
                <w:sz w:val="24"/>
                <w:szCs w:val="24"/>
              </w:rPr>
              <w:t>—声源到靠近围护结构某点处的距离，m。</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B. 计算所有室内声源在围护结构处产生的叠加声压级：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2" o:spt="75" type="#_x0000_t75" style="height:33.75pt;width:130.5pt;" o:ole="t" filled="f" o:preferrelative="t" stroked="f" coordsize="21600,21600">
                  <v:path/>
                  <v:fill on="f" focussize="0,0"/>
                  <v:stroke on="f" joinstyle="miter"/>
                  <v:imagedata r:id="rId23" o:title=""/>
                  <o:lock v:ext="edit" aspectratio="t"/>
                  <w10:wrap type="none"/>
                  <w10:anchorlock/>
                </v:shape>
                <o:OLEObject Type="Embed" ProgID="Equations" ShapeID="_x0000_i1032" DrawAspect="Content" ObjectID="_1468075732" r:id="rId2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p1</w:t>
            </w:r>
            <w:r>
              <w:rPr>
                <w:rFonts w:hint="eastAsia" w:cs="Times New Roman"/>
                <w:i/>
                <w:iCs/>
                <w:color w:val="auto"/>
                <w:sz w:val="24"/>
                <w:szCs w:val="24"/>
                <w:lang w:eastAsia="zh-CN"/>
              </w:rPr>
              <w:t>（</w:t>
            </w:r>
            <w:r>
              <w:rPr>
                <w:rFonts w:hint="default" w:ascii="Times New Roman" w:hAnsi="Times New Roman" w:eastAsia="宋体" w:cs="Times New Roman"/>
                <w:i/>
                <w:iCs/>
                <w:color w:val="auto"/>
                <w:sz w:val="24"/>
                <w:szCs w:val="24"/>
              </w:rPr>
              <w:t>T</w:t>
            </w:r>
            <w:r>
              <w:rPr>
                <w:rFonts w:hint="eastAsia" w:cs="Times New Roman"/>
                <w:i/>
                <w:iCs/>
                <w:color w:val="auto"/>
                <w:sz w:val="24"/>
                <w:szCs w:val="24"/>
                <w:lang w:eastAsia="zh-CN"/>
              </w:rPr>
              <w:t>）</w:t>
            </w:r>
            <w:r>
              <w:rPr>
                <w:rFonts w:hint="default" w:ascii="Times New Roman" w:hAnsi="Times New Roman" w:eastAsia="宋体" w:cs="Times New Roman"/>
                <w:color w:val="auto"/>
                <w:sz w:val="24"/>
                <w:szCs w:val="24"/>
              </w:rPr>
              <w:t>—靠近围护结构处室内N个声源的叠加声压级，dB；</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p1j</w:t>
            </w:r>
            <w:r>
              <w:rPr>
                <w:rFonts w:hint="eastAsia" w:cs="Times New Roman"/>
                <w:i/>
                <w:iCs/>
                <w:color w:val="auto"/>
                <w:sz w:val="24"/>
                <w:szCs w:val="24"/>
                <w:lang w:eastAsia="zh-CN"/>
              </w:rPr>
              <w:t>（</w:t>
            </w:r>
            <w:r>
              <w:rPr>
                <w:rFonts w:hint="default" w:ascii="Times New Roman" w:hAnsi="Times New Roman" w:eastAsia="宋体" w:cs="Times New Roman"/>
                <w:i/>
                <w:iCs/>
                <w:color w:val="auto"/>
                <w:sz w:val="24"/>
                <w:szCs w:val="24"/>
              </w:rPr>
              <w:t>T</w:t>
            </w:r>
            <w:r>
              <w:rPr>
                <w:rFonts w:hint="eastAsia" w:cs="Times New Roman"/>
                <w:i/>
                <w:iCs/>
                <w:color w:val="auto"/>
                <w:sz w:val="24"/>
                <w:szCs w:val="24"/>
                <w:lang w:eastAsia="zh-CN"/>
              </w:rPr>
              <w:t>）</w:t>
            </w:r>
            <w:r>
              <w:rPr>
                <w:rFonts w:hint="default" w:ascii="Times New Roman" w:hAnsi="Times New Roman" w:eastAsia="宋体" w:cs="Times New Roman"/>
                <w:color w:val="auto"/>
                <w:sz w:val="24"/>
                <w:szCs w:val="24"/>
              </w:rPr>
              <w:t>—室内j声源声压级，dB；</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N</w:t>
            </w:r>
            <w:r>
              <w:rPr>
                <w:rFonts w:hint="default" w:ascii="Times New Roman" w:hAnsi="Times New Roman" w:eastAsia="宋体" w:cs="Times New Roman"/>
                <w:color w:val="auto"/>
                <w:sz w:val="24"/>
                <w:szCs w:val="24"/>
              </w:rPr>
              <w:t>—室内声源总数。</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C计算靠近室外</w:t>
            </w:r>
            <w:r>
              <w:rPr>
                <w:rFonts w:hint="eastAsia" w:cs="Times New Roman"/>
                <w:color w:val="auto"/>
                <w:sz w:val="24"/>
                <w:szCs w:val="24"/>
                <w:lang w:eastAsia="zh-CN"/>
              </w:rPr>
              <w:t>围</w:t>
            </w:r>
            <w:r>
              <w:rPr>
                <w:rFonts w:hint="default" w:ascii="Times New Roman" w:hAnsi="Times New Roman" w:eastAsia="宋体" w:cs="Times New Roman"/>
                <w:color w:val="auto"/>
                <w:sz w:val="24"/>
                <w:szCs w:val="24"/>
              </w:rPr>
              <w:t>护结构处的声压级：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3" o:spt="75" type="#_x0000_t75" style="height:19.5pt;width:132pt;" o:ole="t" filled="f" o:preferrelative="t" stroked="f" coordsize="21600,21600">
                  <v:path/>
                  <v:fill on="f" focussize="0,0"/>
                  <v:stroke on="f" joinstyle="miter"/>
                  <v:imagedata r:id="rId25" o:title=""/>
                  <o:lock v:ext="edit" aspectratio="t"/>
                  <w10:wrap type="none"/>
                  <w10:anchorlock/>
                </v:shape>
                <o:OLEObject Type="Embed" ProgID="Equations" ShapeID="_x0000_i1033" DrawAspect="Content" ObjectID="_1468075733" r:id="rId24">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p2i</w:t>
            </w:r>
            <w:r>
              <w:rPr>
                <w:rFonts w:hint="eastAsia" w:cs="Times New Roman"/>
                <w:i/>
                <w:iCs/>
                <w:color w:val="auto"/>
                <w:sz w:val="24"/>
                <w:szCs w:val="24"/>
                <w:lang w:eastAsia="zh-CN"/>
              </w:rPr>
              <w:t>（</w:t>
            </w:r>
            <w:r>
              <w:rPr>
                <w:rFonts w:hint="default" w:ascii="Times New Roman" w:hAnsi="Times New Roman" w:eastAsia="宋体" w:cs="Times New Roman"/>
                <w:i/>
                <w:iCs/>
                <w:color w:val="auto"/>
                <w:sz w:val="24"/>
                <w:szCs w:val="24"/>
              </w:rPr>
              <w:t>T</w:t>
            </w:r>
            <w:r>
              <w:rPr>
                <w:rFonts w:hint="eastAsia" w:cs="Times New Roman"/>
                <w:i/>
                <w:iCs/>
                <w:color w:val="auto"/>
                <w:sz w:val="24"/>
                <w:szCs w:val="24"/>
                <w:lang w:eastAsia="zh-CN"/>
              </w:rPr>
              <w:t>）</w:t>
            </w:r>
            <w:r>
              <w:rPr>
                <w:rFonts w:hint="default" w:ascii="Times New Roman" w:hAnsi="Times New Roman" w:eastAsia="宋体" w:cs="Times New Roman"/>
                <w:color w:val="auto"/>
                <w:sz w:val="24"/>
                <w:szCs w:val="24"/>
              </w:rPr>
              <w:t>—靠近围护结构处室内N个声源的叠加声压级，dB；</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TL</w:t>
            </w:r>
            <w:r>
              <w:rPr>
                <w:rFonts w:hint="default" w:ascii="Times New Roman" w:hAnsi="Times New Roman" w:eastAsia="宋体" w:cs="Times New Roman"/>
                <w:color w:val="auto"/>
                <w:sz w:val="24"/>
                <w:szCs w:val="24"/>
              </w:rPr>
              <w:t>—围护结构的隔声量，dB；</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D. 将室外声源的声压级和透过面积换算成等效的室外声源，计算中心位置位于透声面积处的等效声源的声功率级：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4" o:spt="75" type="#_x0000_t75" style="height:19.5pt;width:105.75pt;" o:ole="t" filled="f" o:preferrelative="t" stroked="f" coordsize="21600,21600">
                  <v:path/>
                  <v:fill on="f" focussize="0,0"/>
                  <v:stroke on="f" joinstyle="miter"/>
                  <v:imagedata r:id="rId27" o:title=""/>
                  <o:lock v:ext="edit" aspectratio="t"/>
                  <w10:wrap type="none"/>
                  <w10:anchorlock/>
                </v:shape>
                <o:OLEObject Type="Embed" ProgID="Equations" ShapeID="_x0000_i1034" DrawAspect="Content" ObjectID="_1468075734" r:id="rId26">
                  <o:LockedField>false</o:LockedField>
                </o:OLEObject>
              </w:objec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E. 按室外声源预测方法计算预测点处的声压级。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5" o:spt="75" type="#_x0000_t75" style="height:19.5pt;width:136.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F. 如预测点在靠近声源处，但不能满足声源条件时，需按线声源或面声源模式计算。</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②室外声源</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6" o:spt="75" type="#_x0000_t75" style="height:19.5pt;width:157.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p</w:t>
            </w:r>
            <w:r>
              <w:rPr>
                <w:rFonts w:hint="eastAsia" w:cs="Times New Roman"/>
                <w:i/>
                <w:iCs/>
                <w:color w:val="auto"/>
                <w:sz w:val="24"/>
                <w:szCs w:val="24"/>
                <w:lang w:eastAsia="zh-CN"/>
              </w:rPr>
              <w:t>（</w:t>
            </w:r>
            <w:r>
              <w:rPr>
                <w:rFonts w:hint="default" w:ascii="Times New Roman" w:hAnsi="Times New Roman" w:eastAsia="宋体" w:cs="Times New Roman"/>
                <w:i/>
                <w:iCs/>
                <w:color w:val="auto"/>
                <w:sz w:val="24"/>
                <w:szCs w:val="24"/>
              </w:rPr>
              <w:t>r</w:t>
            </w:r>
            <w:r>
              <w:rPr>
                <w:rFonts w:hint="eastAsia" w:cs="Times New Roman"/>
                <w:i/>
                <w:iCs/>
                <w:color w:val="auto"/>
                <w:sz w:val="24"/>
                <w:szCs w:val="24"/>
                <w:lang w:eastAsia="zh-CN"/>
              </w:rPr>
              <w:t>）</w:t>
            </w:r>
            <w:r>
              <w:rPr>
                <w:rFonts w:hint="default" w:ascii="Times New Roman" w:hAnsi="Times New Roman" w:eastAsia="宋体" w:cs="Times New Roman"/>
                <w:color w:val="auto"/>
                <w:sz w:val="24"/>
                <w:szCs w:val="24"/>
              </w:rPr>
              <w:t>—噪声源在预测点的声压级，dB</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i/>
                <w:iCs/>
                <w:color w:val="auto"/>
                <w:sz w:val="24"/>
                <w:szCs w:val="24"/>
                <w:vertAlign w:val="subscript"/>
              </w:rPr>
              <w:t>p</w:t>
            </w:r>
            <w:r>
              <w:rPr>
                <w:rFonts w:hint="eastAsia" w:cs="Times New Roman"/>
                <w:i/>
                <w:iCs/>
                <w:color w:val="auto"/>
                <w:sz w:val="24"/>
                <w:szCs w:val="24"/>
                <w:lang w:eastAsia="zh-CN"/>
              </w:rPr>
              <w:t>（</w:t>
            </w: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i/>
                <w:iCs/>
                <w:color w:val="auto"/>
                <w:sz w:val="24"/>
                <w:szCs w:val="24"/>
                <w:vertAlign w:val="subscript"/>
              </w:rPr>
              <w:t>0</w:t>
            </w:r>
            <w:r>
              <w:rPr>
                <w:rFonts w:hint="eastAsia" w:cs="Times New Roman"/>
                <w:i/>
                <w:iCs/>
                <w:color w:val="auto"/>
                <w:sz w:val="24"/>
                <w:szCs w:val="24"/>
                <w:lang w:eastAsia="zh-CN"/>
              </w:rPr>
              <w:t>）</w:t>
            </w:r>
            <w:r>
              <w:rPr>
                <w:rFonts w:hint="default" w:ascii="Times New Roman" w:hAnsi="Times New Roman" w:eastAsia="宋体" w:cs="Times New Roman"/>
                <w:color w:val="auto"/>
                <w:sz w:val="24"/>
                <w:szCs w:val="24"/>
              </w:rPr>
              <w:t>—参考位置</w:t>
            </w: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i/>
                <w:iCs/>
                <w:color w:val="auto"/>
                <w:sz w:val="24"/>
                <w:szCs w:val="24"/>
                <w:vertAlign w:val="subscript"/>
              </w:rPr>
              <w:t>0</w:t>
            </w:r>
            <w:r>
              <w:rPr>
                <w:rFonts w:hint="default" w:ascii="Times New Roman" w:hAnsi="Times New Roman" w:eastAsia="宋体" w:cs="Times New Roman"/>
                <w:color w:val="auto"/>
                <w:sz w:val="24"/>
                <w:szCs w:val="24"/>
              </w:rPr>
              <w:t>处的声压级，dB</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i/>
                <w:iCs/>
                <w:color w:val="auto"/>
                <w:sz w:val="24"/>
                <w:szCs w:val="24"/>
                <w:vertAlign w:val="subscript"/>
              </w:rPr>
              <w:t>0</w:t>
            </w:r>
            <w:r>
              <w:rPr>
                <w:rFonts w:hint="default" w:ascii="Times New Roman" w:hAnsi="Times New Roman" w:eastAsia="宋体" w:cs="Times New Roman"/>
                <w:color w:val="auto"/>
                <w:sz w:val="24"/>
                <w:szCs w:val="24"/>
              </w:rPr>
              <w:t>—参考位置距声源中心的位置，m；</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r</w:t>
            </w:r>
            <w:r>
              <w:rPr>
                <w:rFonts w:hint="default" w:ascii="Times New Roman" w:hAnsi="Times New Roman" w:eastAsia="宋体" w:cs="Times New Roman"/>
                <w:color w:val="auto"/>
                <w:sz w:val="24"/>
                <w:szCs w:val="24"/>
              </w:rPr>
              <w:t>—声源中心至预测点的距离，m；</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△L</w:t>
            </w:r>
            <w:r>
              <w:rPr>
                <w:rFonts w:hint="default" w:ascii="Times New Roman" w:hAnsi="Times New Roman" w:eastAsia="宋体" w:cs="Times New Roman"/>
                <w:color w:val="auto"/>
                <w:sz w:val="24"/>
                <w:szCs w:val="24"/>
              </w:rPr>
              <w:t>—各种因素引起的声衰减量（如声屏障，遮挡物，空气吸收，地面吸收等引起的声衰减），dB</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③总声压级</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object>
                <v:shape id="_x0000_i1037" o:spt="75" type="#_x0000_t75" style="height:33.75pt;width:238.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式中： </w:t>
            </w:r>
            <w:r>
              <w:rPr>
                <w:rFonts w:hint="default" w:ascii="Times New Roman" w:hAnsi="Times New Roman" w:eastAsia="宋体" w:cs="Times New Roman"/>
                <w:i/>
                <w:iCs/>
                <w:color w:val="auto"/>
                <w:sz w:val="24"/>
                <w:szCs w:val="24"/>
              </w:rPr>
              <w:t>T</w:t>
            </w:r>
            <w:r>
              <w:rPr>
                <w:rFonts w:hint="default" w:ascii="Times New Roman" w:hAnsi="Times New Roman" w:eastAsia="宋体" w:cs="Times New Roman"/>
                <w:color w:val="auto"/>
                <w:sz w:val="24"/>
                <w:szCs w:val="24"/>
              </w:rPr>
              <w:t>—为计算等效声级的时间；</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M</w:t>
            </w:r>
            <w:r>
              <w:rPr>
                <w:rFonts w:hint="default" w:ascii="Times New Roman" w:hAnsi="Times New Roman" w:eastAsia="宋体" w:cs="Times New Roman"/>
                <w:color w:val="auto"/>
                <w:sz w:val="24"/>
                <w:szCs w:val="24"/>
              </w:rPr>
              <w:t>—为室外声源个数；N为室内声源个数；</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t</w:t>
            </w:r>
            <w:r>
              <w:rPr>
                <w:rFonts w:hint="default" w:ascii="Times New Roman" w:hAnsi="Times New Roman" w:eastAsia="宋体" w:cs="Times New Roman"/>
                <w:i/>
                <w:iCs/>
                <w:color w:val="auto"/>
                <w:sz w:val="24"/>
                <w:szCs w:val="24"/>
                <w:vertAlign w:val="subscript"/>
              </w:rPr>
              <w:t>out</w:t>
            </w:r>
            <w:r>
              <w:rPr>
                <w:rFonts w:hint="eastAsia" w:cs="Times New Roman"/>
                <w:i/>
                <w:iCs/>
                <w:color w:val="auto"/>
                <w:sz w:val="24"/>
                <w:szCs w:val="24"/>
                <w:vertAlign w:val="subscript"/>
                <w:lang w:eastAsia="zh-CN"/>
              </w:rPr>
              <w:t>，</w:t>
            </w:r>
            <w:r>
              <w:rPr>
                <w:rFonts w:hint="default" w:ascii="Times New Roman" w:hAnsi="Times New Roman" w:eastAsia="宋体" w:cs="Times New Roman"/>
                <w:i/>
                <w:iCs/>
                <w:color w:val="auto"/>
                <w:sz w:val="24"/>
                <w:szCs w:val="24"/>
                <w:vertAlign w:val="subscript"/>
              </w:rPr>
              <w:t>i</w:t>
            </w:r>
            <w:r>
              <w:rPr>
                <w:rFonts w:hint="default" w:ascii="Times New Roman" w:hAnsi="Times New Roman" w:eastAsia="宋体" w:cs="Times New Roman"/>
                <w:color w:val="auto"/>
                <w:sz w:val="24"/>
                <w:szCs w:val="24"/>
              </w:rPr>
              <w:t>—为T时间内第i个室外声源的工作时间；</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t</w:t>
            </w:r>
            <w:r>
              <w:rPr>
                <w:rFonts w:hint="default" w:ascii="Times New Roman" w:hAnsi="Times New Roman" w:eastAsia="宋体" w:cs="Times New Roman"/>
                <w:i/>
                <w:iCs/>
                <w:color w:val="auto"/>
                <w:sz w:val="24"/>
                <w:szCs w:val="24"/>
                <w:vertAlign w:val="subscript"/>
              </w:rPr>
              <w:t>in</w:t>
            </w:r>
            <w:r>
              <w:rPr>
                <w:rFonts w:hint="eastAsia" w:cs="Times New Roman"/>
                <w:i/>
                <w:iCs/>
                <w:color w:val="auto"/>
                <w:sz w:val="24"/>
                <w:szCs w:val="24"/>
                <w:vertAlign w:val="subscript"/>
                <w:lang w:eastAsia="zh-CN"/>
              </w:rPr>
              <w:t>，</w:t>
            </w:r>
            <w:r>
              <w:rPr>
                <w:rFonts w:hint="default" w:ascii="Times New Roman" w:hAnsi="Times New Roman" w:eastAsia="宋体" w:cs="Times New Roman"/>
                <w:i/>
                <w:iCs/>
                <w:color w:val="auto"/>
                <w:sz w:val="24"/>
                <w:szCs w:val="24"/>
                <w:vertAlign w:val="subscript"/>
              </w:rPr>
              <w:t>j</w:t>
            </w:r>
            <w:r>
              <w:rPr>
                <w:rFonts w:hint="default" w:ascii="Times New Roman" w:hAnsi="Times New Roman" w:eastAsia="宋体" w:cs="Times New Roman"/>
                <w:color w:val="auto"/>
                <w:sz w:val="24"/>
                <w:szCs w:val="24"/>
              </w:rPr>
              <w:t>—为T时间内第j个室内声源的工作时间；</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i/>
                <w:iCs/>
                <w:color w:val="auto"/>
                <w:sz w:val="24"/>
                <w:szCs w:val="24"/>
              </w:rPr>
              <w:t>t</w:t>
            </w:r>
            <w:r>
              <w:rPr>
                <w:rFonts w:hint="default" w:ascii="Times New Roman" w:hAnsi="Times New Roman" w:eastAsia="宋体" w:cs="Times New Roman"/>
                <w:i/>
                <w:iCs/>
                <w:color w:val="auto"/>
                <w:sz w:val="24"/>
                <w:szCs w:val="24"/>
                <w:vertAlign w:val="subscript"/>
              </w:rPr>
              <w:t>out</w:t>
            </w:r>
            <w:r>
              <w:rPr>
                <w:rFonts w:hint="default" w:ascii="Times New Roman" w:hAnsi="Times New Roman" w:eastAsia="宋体" w:cs="Times New Roman"/>
                <w:color w:val="auto"/>
                <w:sz w:val="24"/>
                <w:szCs w:val="24"/>
              </w:rPr>
              <w:t>和</w:t>
            </w:r>
            <w:r>
              <w:rPr>
                <w:rFonts w:hint="default" w:ascii="Times New Roman" w:hAnsi="Times New Roman" w:eastAsia="宋体" w:cs="Times New Roman"/>
                <w:i/>
                <w:iCs/>
                <w:color w:val="auto"/>
                <w:sz w:val="24"/>
                <w:szCs w:val="24"/>
              </w:rPr>
              <w:t>t</w:t>
            </w:r>
            <w:r>
              <w:rPr>
                <w:rFonts w:hint="default" w:ascii="Times New Roman" w:hAnsi="Times New Roman" w:eastAsia="宋体" w:cs="Times New Roman"/>
                <w:i/>
                <w:iCs/>
                <w:color w:val="auto"/>
                <w:sz w:val="24"/>
                <w:szCs w:val="24"/>
                <w:vertAlign w:val="subscript"/>
              </w:rPr>
              <w:t>in</w:t>
            </w:r>
            <w:r>
              <w:rPr>
                <w:rFonts w:hint="default" w:ascii="Times New Roman" w:hAnsi="Times New Roman" w:eastAsia="宋体" w:cs="Times New Roman"/>
                <w:color w:val="auto"/>
                <w:sz w:val="24"/>
                <w:szCs w:val="24"/>
              </w:rPr>
              <w:t>—均按T时间内实际工作时间计算。</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运营期只在昼间生产，夜间不生产，</w:t>
            </w:r>
            <w:r>
              <w:rPr>
                <w:rFonts w:hint="eastAsia" w:ascii="Times New Roman" w:hAnsi="Times New Roman" w:eastAsia="宋体" w:cs="Times New Roman"/>
                <w:color w:val="auto"/>
                <w:sz w:val="24"/>
                <w:szCs w:val="24"/>
                <w:highlight w:val="none"/>
                <w:lang w:val="en-US" w:eastAsia="zh-CN"/>
              </w:rPr>
              <w:t>室内声源叠加室外</w:t>
            </w:r>
            <w:r>
              <w:rPr>
                <w:rFonts w:hint="default" w:ascii="Times New Roman" w:hAnsi="Times New Roman" w:eastAsia="宋体" w:cs="Times New Roman"/>
                <w:color w:val="auto"/>
                <w:sz w:val="24"/>
                <w:szCs w:val="24"/>
                <w:highlight w:val="none"/>
              </w:rPr>
              <w:t>声源在厂界的噪声预测结果见下表。</w:t>
            </w:r>
          </w:p>
          <w:p>
            <w:pPr>
              <w:autoSpaceDE w:val="0"/>
              <w:autoSpaceDN w:val="0"/>
              <w:adjustRightInd w:val="0"/>
              <w:spacing w:line="240" w:lineRule="auto"/>
              <w:ind w:firstLine="0" w:firstLineChars="0"/>
              <w:jc w:val="center"/>
              <w:rPr>
                <w:rFonts w:hint="eastAsia" w:eastAsia="宋体"/>
                <w:b/>
                <w:bCs/>
                <w:color w:val="auto"/>
                <w:sz w:val="21"/>
                <w:szCs w:val="21"/>
                <w:lang w:eastAsia="zh-CN"/>
              </w:rPr>
            </w:pPr>
            <w:r>
              <w:rPr>
                <w:b/>
                <w:bCs/>
                <w:color w:val="auto"/>
                <w:sz w:val="21"/>
                <w:szCs w:val="21"/>
              </w:rPr>
              <w:t>表4-</w:t>
            </w:r>
            <w:r>
              <w:rPr>
                <w:rFonts w:hint="eastAsia"/>
                <w:b/>
                <w:bCs/>
                <w:color w:val="auto"/>
                <w:sz w:val="21"/>
                <w:szCs w:val="21"/>
              </w:rPr>
              <w:t>1</w:t>
            </w:r>
            <w:r>
              <w:rPr>
                <w:rFonts w:hint="eastAsia"/>
                <w:b/>
                <w:bCs/>
                <w:color w:val="auto"/>
                <w:sz w:val="21"/>
                <w:szCs w:val="21"/>
                <w:lang w:val="en-US" w:eastAsia="zh-CN"/>
              </w:rPr>
              <w:t>0</w:t>
            </w:r>
            <w:r>
              <w:rPr>
                <w:b/>
                <w:bCs/>
                <w:color w:val="auto"/>
                <w:sz w:val="21"/>
                <w:szCs w:val="21"/>
              </w:rPr>
              <w:t xml:space="preserve">    声环境预测结果统计及分析    单位：dB</w:t>
            </w:r>
            <w:r>
              <w:rPr>
                <w:rFonts w:hint="eastAsia"/>
                <w:b/>
                <w:bCs/>
                <w:color w:val="auto"/>
                <w:sz w:val="21"/>
                <w:szCs w:val="21"/>
                <w:lang w:eastAsia="zh-CN"/>
              </w:rPr>
              <w:t>（</w:t>
            </w:r>
            <w:r>
              <w:rPr>
                <w:b/>
                <w:bCs/>
                <w:color w:val="auto"/>
                <w:sz w:val="21"/>
                <w:szCs w:val="21"/>
              </w:rPr>
              <w:t>A</w:t>
            </w:r>
            <w:r>
              <w:rPr>
                <w:rFonts w:hint="eastAsia"/>
                <w:b/>
                <w:bCs/>
                <w:color w:val="auto"/>
                <w:sz w:val="21"/>
                <w:szCs w:val="21"/>
                <w:lang w:eastAsia="zh-CN"/>
              </w:rPr>
              <w:t>）</w:t>
            </w:r>
          </w:p>
          <w:tbl>
            <w:tblPr>
              <w:tblStyle w:val="29"/>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983"/>
              <w:gridCol w:w="1280"/>
              <w:gridCol w:w="1255"/>
              <w:gridCol w:w="1492"/>
              <w:gridCol w:w="154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1107"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位置</w:t>
                  </w:r>
                </w:p>
              </w:tc>
              <w:tc>
                <w:tcPr>
                  <w:tcW w:w="584"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贡献值</w:t>
                  </w:r>
                </w:p>
              </w:tc>
              <w:tc>
                <w:tcPr>
                  <w:tcW w:w="760" w:type="pct"/>
                  <w:vAlign w:val="center"/>
                </w:tcPr>
                <w:p>
                  <w:pPr>
                    <w:autoSpaceDE w:val="0"/>
                    <w:autoSpaceDN w:val="0"/>
                    <w:adjustRightInd w:val="0"/>
                    <w:spacing w:line="240" w:lineRule="auto"/>
                    <w:ind w:firstLine="0" w:firstLineChars="0"/>
                    <w:jc w:val="center"/>
                    <w:rPr>
                      <w:color w:val="auto"/>
                      <w:sz w:val="21"/>
                      <w:szCs w:val="21"/>
                      <w:highlight w:val="none"/>
                    </w:rPr>
                  </w:pPr>
                  <w:r>
                    <w:rPr>
                      <w:rFonts w:hint="eastAsia"/>
                      <w:color w:val="auto"/>
                      <w:sz w:val="21"/>
                      <w:szCs w:val="21"/>
                      <w:highlight w:val="none"/>
                    </w:rPr>
                    <w:t>监测值</w:t>
                  </w:r>
                </w:p>
              </w:tc>
              <w:tc>
                <w:tcPr>
                  <w:tcW w:w="745" w:type="pct"/>
                  <w:vAlign w:val="center"/>
                </w:tcPr>
                <w:p>
                  <w:pPr>
                    <w:autoSpaceDE w:val="0"/>
                    <w:autoSpaceDN w:val="0"/>
                    <w:adjustRightInd w:val="0"/>
                    <w:spacing w:line="240" w:lineRule="auto"/>
                    <w:ind w:firstLine="0" w:firstLineChars="0"/>
                    <w:jc w:val="center"/>
                    <w:rPr>
                      <w:color w:val="auto"/>
                      <w:sz w:val="21"/>
                      <w:szCs w:val="21"/>
                      <w:highlight w:val="none"/>
                    </w:rPr>
                  </w:pPr>
                  <w:r>
                    <w:rPr>
                      <w:rFonts w:hint="eastAsia"/>
                      <w:color w:val="auto"/>
                      <w:sz w:val="21"/>
                      <w:szCs w:val="21"/>
                      <w:highlight w:val="none"/>
                    </w:rPr>
                    <w:t>预测值</w:t>
                  </w:r>
                </w:p>
              </w:tc>
              <w:tc>
                <w:tcPr>
                  <w:tcW w:w="886"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昼间标准</w:t>
                  </w:r>
                </w:p>
              </w:tc>
              <w:tc>
                <w:tcPr>
                  <w:tcW w:w="915"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07" w:type="pct"/>
                  <w:vAlign w:val="center"/>
                </w:tcPr>
                <w:p>
                  <w:pPr>
                    <w:spacing w:line="240" w:lineRule="auto"/>
                    <w:ind w:firstLine="0" w:firstLineChars="0"/>
                    <w:jc w:val="center"/>
                    <w:rPr>
                      <w:rFonts w:hint="default" w:eastAsia="宋体"/>
                      <w:color w:val="auto"/>
                      <w:sz w:val="21"/>
                      <w:szCs w:val="21"/>
                      <w:lang w:val="en-US" w:eastAsia="zh-CN"/>
                    </w:rPr>
                  </w:pPr>
                  <w:r>
                    <w:rPr>
                      <w:color w:val="auto"/>
                      <w:sz w:val="21"/>
                      <w:szCs w:val="21"/>
                    </w:rPr>
                    <w:t>东</w:t>
                  </w:r>
                  <w:r>
                    <w:rPr>
                      <w:rFonts w:hint="eastAsia"/>
                      <w:color w:val="auto"/>
                      <w:sz w:val="21"/>
                      <w:szCs w:val="21"/>
                      <w:lang w:val="en-US" w:eastAsia="zh-CN"/>
                    </w:rPr>
                    <w:t>侧厂房外1.0m</w:t>
                  </w:r>
                </w:p>
              </w:tc>
              <w:tc>
                <w:tcPr>
                  <w:tcW w:w="584" w:type="pct"/>
                  <w:vAlign w:val="center"/>
                </w:tcPr>
                <w:p>
                  <w:pPr>
                    <w:autoSpaceDE w:val="0"/>
                    <w:autoSpaceDN w:val="0"/>
                    <w:adjustRightIn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49.6</w:t>
                  </w:r>
                </w:p>
              </w:tc>
              <w:tc>
                <w:tcPr>
                  <w:tcW w:w="760"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745"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886" w:type="pct"/>
                  <w:vMerge w:val="restart"/>
                  <w:vAlign w:val="center"/>
                </w:tcPr>
                <w:p>
                  <w:pPr>
                    <w:autoSpaceDE w:val="0"/>
                    <w:autoSpaceDN w:val="0"/>
                    <w:adjustRightInd w:val="0"/>
                    <w:spacing w:line="240" w:lineRule="auto"/>
                    <w:ind w:firstLine="0" w:firstLineChars="0"/>
                    <w:jc w:val="center"/>
                    <w:rPr>
                      <w:rFonts w:hint="eastAsia" w:eastAsia="宋体"/>
                      <w:color w:val="auto"/>
                      <w:sz w:val="21"/>
                      <w:szCs w:val="21"/>
                      <w:lang w:eastAsia="zh-CN"/>
                    </w:rPr>
                  </w:pPr>
                  <w:r>
                    <w:rPr>
                      <w:color w:val="auto"/>
                      <w:sz w:val="21"/>
                      <w:szCs w:val="21"/>
                    </w:rPr>
                    <w:t>6</w:t>
                  </w:r>
                  <w:r>
                    <w:rPr>
                      <w:rFonts w:hint="eastAsia"/>
                      <w:color w:val="auto"/>
                      <w:sz w:val="21"/>
                      <w:szCs w:val="21"/>
                      <w:lang w:val="en-US" w:eastAsia="zh-CN"/>
                    </w:rPr>
                    <w:t>5</w:t>
                  </w:r>
                </w:p>
              </w:tc>
              <w:tc>
                <w:tcPr>
                  <w:tcW w:w="915"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07" w:type="pct"/>
                  <w:vAlign w:val="center"/>
                </w:tcPr>
                <w:p>
                  <w:pPr>
                    <w:spacing w:line="240" w:lineRule="auto"/>
                    <w:ind w:firstLine="0" w:firstLineChars="0"/>
                    <w:jc w:val="center"/>
                    <w:rPr>
                      <w:color w:val="auto"/>
                      <w:sz w:val="21"/>
                      <w:szCs w:val="21"/>
                    </w:rPr>
                  </w:pPr>
                  <w:r>
                    <w:rPr>
                      <w:rFonts w:hint="eastAsia"/>
                      <w:color w:val="auto"/>
                      <w:sz w:val="21"/>
                      <w:szCs w:val="21"/>
                    </w:rPr>
                    <w:t>南</w:t>
                  </w:r>
                  <w:r>
                    <w:rPr>
                      <w:rFonts w:hint="eastAsia"/>
                      <w:color w:val="auto"/>
                      <w:sz w:val="21"/>
                      <w:szCs w:val="21"/>
                      <w:lang w:val="en-US" w:eastAsia="zh-CN"/>
                    </w:rPr>
                    <w:t>侧厂房外1.0m</w:t>
                  </w:r>
                </w:p>
              </w:tc>
              <w:tc>
                <w:tcPr>
                  <w:tcW w:w="584" w:type="pct"/>
                  <w:vAlign w:val="center"/>
                </w:tcPr>
                <w:p>
                  <w:pPr>
                    <w:autoSpaceDE w:val="0"/>
                    <w:autoSpaceDN w:val="0"/>
                    <w:adjustRightIn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53.4</w:t>
                  </w:r>
                </w:p>
              </w:tc>
              <w:tc>
                <w:tcPr>
                  <w:tcW w:w="760"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745"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886" w:type="pct"/>
                  <w:vMerge w:val="continue"/>
                  <w:vAlign w:val="center"/>
                </w:tcPr>
                <w:p>
                  <w:pPr>
                    <w:autoSpaceDE w:val="0"/>
                    <w:autoSpaceDN w:val="0"/>
                    <w:adjustRightInd w:val="0"/>
                    <w:spacing w:line="240" w:lineRule="auto"/>
                    <w:ind w:firstLine="0" w:firstLineChars="0"/>
                    <w:jc w:val="center"/>
                    <w:rPr>
                      <w:color w:val="auto"/>
                      <w:sz w:val="21"/>
                      <w:szCs w:val="21"/>
                    </w:rPr>
                  </w:pPr>
                </w:p>
              </w:tc>
              <w:tc>
                <w:tcPr>
                  <w:tcW w:w="915"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07" w:type="pct"/>
                  <w:vAlign w:val="center"/>
                </w:tcPr>
                <w:p>
                  <w:pPr>
                    <w:spacing w:line="240" w:lineRule="auto"/>
                    <w:ind w:firstLine="0" w:firstLineChars="0"/>
                    <w:jc w:val="center"/>
                    <w:rPr>
                      <w:color w:val="auto"/>
                      <w:sz w:val="21"/>
                      <w:szCs w:val="21"/>
                    </w:rPr>
                  </w:pPr>
                  <w:r>
                    <w:rPr>
                      <w:rFonts w:hint="eastAsia"/>
                      <w:color w:val="auto"/>
                      <w:sz w:val="21"/>
                      <w:szCs w:val="21"/>
                    </w:rPr>
                    <w:t>西</w:t>
                  </w:r>
                  <w:r>
                    <w:rPr>
                      <w:rFonts w:hint="eastAsia"/>
                      <w:color w:val="auto"/>
                      <w:sz w:val="21"/>
                      <w:szCs w:val="21"/>
                      <w:lang w:val="en-US" w:eastAsia="zh-CN"/>
                    </w:rPr>
                    <w:t>侧厂房外1.0m</w:t>
                  </w:r>
                </w:p>
              </w:tc>
              <w:tc>
                <w:tcPr>
                  <w:tcW w:w="584" w:type="pct"/>
                  <w:vAlign w:val="center"/>
                </w:tcPr>
                <w:p>
                  <w:pPr>
                    <w:autoSpaceDE w:val="0"/>
                    <w:autoSpaceDN w:val="0"/>
                    <w:adjustRightIn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59.6</w:t>
                  </w:r>
                </w:p>
              </w:tc>
              <w:tc>
                <w:tcPr>
                  <w:tcW w:w="760"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745"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886" w:type="pct"/>
                  <w:vMerge w:val="continue"/>
                  <w:vAlign w:val="center"/>
                </w:tcPr>
                <w:p>
                  <w:pPr>
                    <w:autoSpaceDE w:val="0"/>
                    <w:autoSpaceDN w:val="0"/>
                    <w:adjustRightInd w:val="0"/>
                    <w:spacing w:line="240" w:lineRule="auto"/>
                    <w:ind w:firstLine="0" w:firstLineChars="0"/>
                    <w:jc w:val="center"/>
                    <w:rPr>
                      <w:color w:val="auto"/>
                      <w:sz w:val="21"/>
                      <w:szCs w:val="21"/>
                    </w:rPr>
                  </w:pPr>
                </w:p>
              </w:tc>
              <w:tc>
                <w:tcPr>
                  <w:tcW w:w="915"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07" w:type="pct"/>
                  <w:vAlign w:val="center"/>
                </w:tcPr>
                <w:p>
                  <w:pPr>
                    <w:spacing w:line="240" w:lineRule="auto"/>
                    <w:ind w:firstLine="0" w:firstLineChars="0"/>
                    <w:jc w:val="center"/>
                    <w:rPr>
                      <w:color w:val="auto"/>
                      <w:sz w:val="21"/>
                      <w:szCs w:val="21"/>
                    </w:rPr>
                  </w:pPr>
                  <w:r>
                    <w:rPr>
                      <w:rFonts w:hint="eastAsia"/>
                      <w:color w:val="auto"/>
                      <w:sz w:val="21"/>
                      <w:szCs w:val="21"/>
                    </w:rPr>
                    <w:t>北</w:t>
                  </w:r>
                  <w:r>
                    <w:rPr>
                      <w:rFonts w:hint="eastAsia"/>
                      <w:color w:val="auto"/>
                      <w:sz w:val="21"/>
                      <w:szCs w:val="21"/>
                      <w:lang w:val="en-US" w:eastAsia="zh-CN"/>
                    </w:rPr>
                    <w:t>侧厂房外1.0m</w:t>
                  </w:r>
                </w:p>
              </w:tc>
              <w:tc>
                <w:tcPr>
                  <w:tcW w:w="584" w:type="pct"/>
                  <w:vAlign w:val="center"/>
                </w:tcPr>
                <w:p>
                  <w:pPr>
                    <w:autoSpaceDE w:val="0"/>
                    <w:autoSpaceDN w:val="0"/>
                    <w:adjustRightInd w:val="0"/>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61.2</w:t>
                  </w:r>
                </w:p>
              </w:tc>
              <w:tc>
                <w:tcPr>
                  <w:tcW w:w="760"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745" w:type="pct"/>
                  <w:vAlign w:val="center"/>
                </w:tcPr>
                <w:p>
                  <w:pPr>
                    <w:autoSpaceDE w:val="0"/>
                    <w:autoSpaceDN w:val="0"/>
                    <w:adjustRightInd w:val="0"/>
                    <w:spacing w:line="240" w:lineRule="auto"/>
                    <w:ind w:firstLine="0" w:firstLineChars="0"/>
                    <w:jc w:val="center"/>
                    <w:rPr>
                      <w:color w:val="auto"/>
                      <w:sz w:val="21"/>
                      <w:szCs w:val="21"/>
                    </w:rPr>
                  </w:pPr>
                  <w:r>
                    <w:rPr>
                      <w:rFonts w:hint="eastAsia"/>
                      <w:color w:val="auto"/>
                      <w:sz w:val="21"/>
                      <w:szCs w:val="21"/>
                    </w:rPr>
                    <w:t>/</w:t>
                  </w:r>
                </w:p>
              </w:tc>
              <w:tc>
                <w:tcPr>
                  <w:tcW w:w="886" w:type="pct"/>
                  <w:vMerge w:val="continue"/>
                  <w:vAlign w:val="center"/>
                </w:tcPr>
                <w:p>
                  <w:pPr>
                    <w:autoSpaceDE w:val="0"/>
                    <w:autoSpaceDN w:val="0"/>
                    <w:adjustRightInd w:val="0"/>
                    <w:spacing w:line="240" w:lineRule="auto"/>
                    <w:ind w:firstLine="0" w:firstLineChars="0"/>
                    <w:jc w:val="center"/>
                    <w:rPr>
                      <w:color w:val="auto"/>
                      <w:sz w:val="21"/>
                      <w:szCs w:val="21"/>
                    </w:rPr>
                  </w:pPr>
                </w:p>
              </w:tc>
              <w:tc>
                <w:tcPr>
                  <w:tcW w:w="915" w:type="pct"/>
                  <w:vAlign w:val="center"/>
                </w:tcPr>
                <w:p>
                  <w:pPr>
                    <w:autoSpaceDE w:val="0"/>
                    <w:autoSpaceDN w:val="0"/>
                    <w:adjustRightInd w:val="0"/>
                    <w:spacing w:line="240" w:lineRule="auto"/>
                    <w:ind w:firstLine="0" w:firstLineChars="0"/>
                    <w:jc w:val="center"/>
                    <w:rPr>
                      <w:color w:val="auto"/>
                      <w:sz w:val="21"/>
                      <w:szCs w:val="21"/>
                    </w:rPr>
                  </w:pPr>
                  <w:r>
                    <w:rPr>
                      <w:color w:val="auto"/>
                      <w:sz w:val="21"/>
                      <w:szCs w:val="21"/>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在</w:t>
            </w:r>
            <w:r>
              <w:rPr>
                <w:rFonts w:hint="eastAsia"/>
                <w:color w:val="auto"/>
                <w:sz w:val="24"/>
                <w:szCs w:val="32"/>
              </w:rPr>
              <w:t>采取车间封闭</w:t>
            </w:r>
            <w:r>
              <w:rPr>
                <w:color w:val="auto"/>
                <w:sz w:val="24"/>
                <w:szCs w:val="32"/>
              </w:rPr>
              <w:t>、</w:t>
            </w:r>
            <w:r>
              <w:rPr>
                <w:rFonts w:hint="eastAsia"/>
                <w:color w:val="auto"/>
                <w:sz w:val="24"/>
                <w:szCs w:val="32"/>
              </w:rPr>
              <w:t>选择低噪声设备</w:t>
            </w:r>
            <w:r>
              <w:rPr>
                <w:color w:val="auto"/>
                <w:sz w:val="24"/>
                <w:szCs w:val="32"/>
              </w:rPr>
              <w:t>、对各设备基础</w:t>
            </w:r>
            <w:r>
              <w:rPr>
                <w:rFonts w:hint="eastAsia"/>
                <w:color w:val="auto"/>
                <w:sz w:val="24"/>
                <w:szCs w:val="32"/>
              </w:rPr>
              <w:t>减振</w:t>
            </w:r>
            <w:r>
              <w:rPr>
                <w:color w:val="auto"/>
                <w:sz w:val="24"/>
                <w:szCs w:val="32"/>
              </w:rPr>
              <w:t>，合理布局以及对厂区车辆加强管理等措施后，</w:t>
            </w:r>
            <w:r>
              <w:rPr>
                <w:rFonts w:hint="eastAsia"/>
                <w:color w:val="auto"/>
                <w:sz w:val="24"/>
                <w:szCs w:val="32"/>
              </w:rPr>
              <w:t>项目厂界噪声贡献值可满足</w:t>
            </w:r>
            <w:r>
              <w:rPr>
                <w:color w:val="auto"/>
                <w:sz w:val="24"/>
                <w:szCs w:val="32"/>
              </w:rPr>
              <w:t>《工业企业厂界环境噪声排放标准》（GB12348-2008）中</w:t>
            </w:r>
            <w:r>
              <w:rPr>
                <w:rFonts w:hint="eastAsia"/>
                <w:color w:val="auto"/>
                <w:sz w:val="24"/>
                <w:szCs w:val="32"/>
                <w:lang w:val="en-US" w:eastAsia="zh-CN"/>
              </w:rPr>
              <w:t>3</w:t>
            </w:r>
            <w:r>
              <w:rPr>
                <w:color w:val="auto"/>
                <w:sz w:val="24"/>
                <w:szCs w:val="32"/>
              </w:rPr>
              <w:t>类标准限值。</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rPr>
              <w:t>（3）项目噪声监测计划</w:t>
            </w:r>
          </w:p>
          <w:p>
            <w:pPr>
              <w:pStyle w:val="110"/>
              <w:rPr>
                <w:b/>
                <w:bCs/>
                <w:color w:val="auto"/>
              </w:rPr>
            </w:pPr>
            <w:r>
              <w:rPr>
                <w:rFonts w:hint="eastAsia"/>
                <w:b/>
                <w:bCs/>
                <w:color w:val="auto"/>
              </w:rPr>
              <w:t>表4</w:t>
            </w:r>
            <w:r>
              <w:rPr>
                <w:b/>
                <w:bCs/>
                <w:color w:val="auto"/>
              </w:rPr>
              <w:t>-1</w:t>
            </w:r>
            <w:r>
              <w:rPr>
                <w:rFonts w:hint="eastAsia"/>
                <w:b/>
                <w:bCs/>
                <w:color w:val="auto"/>
                <w:lang w:val="en-US" w:eastAsia="zh-CN"/>
              </w:rPr>
              <w:t>1</w:t>
            </w:r>
            <w:r>
              <w:rPr>
                <w:b/>
                <w:bCs/>
                <w:color w:val="auto"/>
              </w:rPr>
              <w:t xml:space="preserve">    </w:t>
            </w:r>
            <w:r>
              <w:rPr>
                <w:rFonts w:hint="eastAsia"/>
                <w:b/>
                <w:bCs/>
                <w:color w:val="auto"/>
              </w:rPr>
              <w:t>运营期噪声监测计划一览表</w:t>
            </w:r>
          </w:p>
          <w:tbl>
            <w:tblPr>
              <w:tblStyle w:val="30"/>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12"/>
              <w:gridCol w:w="709"/>
              <w:gridCol w:w="1857"/>
              <w:gridCol w:w="963"/>
              <w:gridCol w:w="346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pStyle w:val="110"/>
                    <w:rPr>
                      <w:color w:val="auto"/>
                    </w:rPr>
                  </w:pPr>
                  <w:r>
                    <w:rPr>
                      <w:rFonts w:hint="eastAsia"/>
                      <w:color w:val="auto"/>
                    </w:rPr>
                    <w:t>项目</w:t>
                  </w:r>
                </w:p>
              </w:tc>
              <w:tc>
                <w:tcPr>
                  <w:tcW w:w="712" w:type="dxa"/>
                  <w:vAlign w:val="center"/>
                </w:tcPr>
                <w:p>
                  <w:pPr>
                    <w:pStyle w:val="110"/>
                    <w:rPr>
                      <w:color w:val="auto"/>
                    </w:rPr>
                  </w:pPr>
                  <w:r>
                    <w:rPr>
                      <w:rFonts w:hint="eastAsia"/>
                      <w:color w:val="auto"/>
                    </w:rPr>
                    <w:t>监测项目</w:t>
                  </w:r>
                </w:p>
              </w:tc>
              <w:tc>
                <w:tcPr>
                  <w:tcW w:w="709" w:type="dxa"/>
                  <w:vAlign w:val="center"/>
                </w:tcPr>
                <w:p>
                  <w:pPr>
                    <w:pStyle w:val="110"/>
                    <w:rPr>
                      <w:color w:val="auto"/>
                    </w:rPr>
                  </w:pPr>
                  <w:r>
                    <w:rPr>
                      <w:rFonts w:hint="eastAsia"/>
                      <w:color w:val="auto"/>
                    </w:rPr>
                    <w:t>监测因子</w:t>
                  </w:r>
                </w:p>
              </w:tc>
              <w:tc>
                <w:tcPr>
                  <w:tcW w:w="1857" w:type="dxa"/>
                  <w:vAlign w:val="center"/>
                </w:tcPr>
                <w:p>
                  <w:pPr>
                    <w:pStyle w:val="110"/>
                    <w:rPr>
                      <w:color w:val="auto"/>
                    </w:rPr>
                  </w:pPr>
                  <w:r>
                    <w:rPr>
                      <w:rFonts w:hint="eastAsia"/>
                      <w:color w:val="auto"/>
                    </w:rPr>
                    <w:t>取样位置</w:t>
                  </w:r>
                </w:p>
              </w:tc>
              <w:tc>
                <w:tcPr>
                  <w:tcW w:w="963" w:type="dxa"/>
                  <w:vAlign w:val="center"/>
                </w:tcPr>
                <w:p>
                  <w:pPr>
                    <w:pStyle w:val="110"/>
                    <w:rPr>
                      <w:color w:val="auto"/>
                    </w:rPr>
                  </w:pPr>
                  <w:r>
                    <w:rPr>
                      <w:rFonts w:hint="eastAsia"/>
                      <w:color w:val="auto"/>
                    </w:rPr>
                    <w:t>监测频率</w:t>
                  </w:r>
                </w:p>
              </w:tc>
              <w:tc>
                <w:tcPr>
                  <w:tcW w:w="3468" w:type="dxa"/>
                  <w:vAlign w:val="center"/>
                </w:tcPr>
                <w:p>
                  <w:pPr>
                    <w:pStyle w:val="110"/>
                    <w:rPr>
                      <w:color w:val="auto"/>
                    </w:rPr>
                  </w:pPr>
                  <w:r>
                    <w:rPr>
                      <w:rFonts w:hint="eastAsia"/>
                      <w:color w:val="auto"/>
                    </w:rPr>
                    <w:t>执行标准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83" w:type="dxa"/>
                  <w:vMerge w:val="restart"/>
                  <w:vAlign w:val="center"/>
                </w:tcPr>
                <w:p>
                  <w:pPr>
                    <w:pStyle w:val="110"/>
                    <w:rPr>
                      <w:color w:val="auto"/>
                    </w:rPr>
                  </w:pPr>
                  <w:r>
                    <w:rPr>
                      <w:rFonts w:hint="eastAsia"/>
                      <w:color w:val="auto"/>
                    </w:rPr>
                    <w:t>噪声</w:t>
                  </w:r>
                </w:p>
              </w:tc>
              <w:tc>
                <w:tcPr>
                  <w:tcW w:w="712" w:type="dxa"/>
                  <w:vMerge w:val="restart"/>
                  <w:vAlign w:val="center"/>
                </w:tcPr>
                <w:p>
                  <w:pPr>
                    <w:pStyle w:val="110"/>
                    <w:rPr>
                      <w:color w:val="auto"/>
                    </w:rPr>
                  </w:pPr>
                  <w:r>
                    <w:rPr>
                      <w:rFonts w:hint="eastAsia"/>
                      <w:color w:val="auto"/>
                    </w:rPr>
                    <w:t>设备运行噪声</w:t>
                  </w:r>
                </w:p>
              </w:tc>
              <w:tc>
                <w:tcPr>
                  <w:tcW w:w="709" w:type="dxa"/>
                  <w:vMerge w:val="restart"/>
                  <w:vAlign w:val="center"/>
                </w:tcPr>
                <w:p>
                  <w:pPr>
                    <w:pStyle w:val="110"/>
                    <w:rPr>
                      <w:color w:val="auto"/>
                    </w:rPr>
                  </w:pPr>
                  <w:r>
                    <w:rPr>
                      <w:rFonts w:hint="eastAsia"/>
                      <w:color w:val="auto"/>
                    </w:rPr>
                    <w:t>L</w:t>
                  </w:r>
                  <w:r>
                    <w:rPr>
                      <w:color w:val="auto"/>
                    </w:rPr>
                    <w:t>eq</w:t>
                  </w:r>
                </w:p>
              </w:tc>
              <w:tc>
                <w:tcPr>
                  <w:tcW w:w="1857" w:type="dxa"/>
                  <w:vAlign w:val="center"/>
                </w:tcPr>
                <w:p>
                  <w:pPr>
                    <w:spacing w:line="240" w:lineRule="auto"/>
                    <w:ind w:firstLine="0" w:firstLineChars="0"/>
                    <w:jc w:val="center"/>
                    <w:rPr>
                      <w:rFonts w:hint="default" w:eastAsia="宋体"/>
                      <w:color w:val="auto"/>
                      <w:lang w:val="en-US" w:eastAsia="zh-CN"/>
                    </w:rPr>
                  </w:pPr>
                  <w:r>
                    <w:rPr>
                      <w:color w:val="auto"/>
                      <w:sz w:val="21"/>
                      <w:szCs w:val="21"/>
                    </w:rPr>
                    <w:t>东</w:t>
                  </w:r>
                  <w:r>
                    <w:rPr>
                      <w:rFonts w:hint="eastAsia"/>
                      <w:color w:val="auto"/>
                      <w:sz w:val="21"/>
                      <w:szCs w:val="21"/>
                      <w:lang w:val="en-US" w:eastAsia="zh-CN"/>
                    </w:rPr>
                    <w:t>侧厂房外1.0m</w:t>
                  </w:r>
                </w:p>
              </w:tc>
              <w:tc>
                <w:tcPr>
                  <w:tcW w:w="963" w:type="dxa"/>
                  <w:vMerge w:val="restart"/>
                  <w:vAlign w:val="center"/>
                </w:tcPr>
                <w:p>
                  <w:pPr>
                    <w:pStyle w:val="110"/>
                    <w:rPr>
                      <w:color w:val="auto"/>
                    </w:rPr>
                  </w:pPr>
                  <w:r>
                    <w:rPr>
                      <w:rFonts w:hint="eastAsia"/>
                      <w:color w:val="auto"/>
                    </w:rPr>
                    <w:t>一次/每季，昼间</w:t>
                  </w:r>
                </w:p>
              </w:tc>
              <w:tc>
                <w:tcPr>
                  <w:tcW w:w="3468" w:type="dxa"/>
                  <w:vMerge w:val="restart"/>
                  <w:vAlign w:val="center"/>
                </w:tcPr>
                <w:p>
                  <w:pPr>
                    <w:pStyle w:val="110"/>
                    <w:rPr>
                      <w:color w:val="auto"/>
                    </w:rPr>
                  </w:pPr>
                  <w:r>
                    <w:rPr>
                      <w:color w:val="auto"/>
                    </w:rPr>
                    <w:t>《工业企业厂界环境噪声排放标准》（GB12348-2008）中</w:t>
                  </w:r>
                  <w:r>
                    <w:rPr>
                      <w:rFonts w:hint="eastAsia"/>
                      <w:color w:val="auto"/>
                      <w:lang w:val="en-US" w:eastAsia="zh-CN"/>
                    </w:rPr>
                    <w:t>3</w:t>
                  </w:r>
                  <w:r>
                    <w:rPr>
                      <w:color w:val="auto"/>
                    </w:rPr>
                    <w:t>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83" w:type="dxa"/>
                  <w:vMerge w:val="continue"/>
                  <w:vAlign w:val="center"/>
                </w:tcPr>
                <w:p>
                  <w:pPr>
                    <w:pStyle w:val="110"/>
                    <w:rPr>
                      <w:color w:val="auto"/>
                    </w:rPr>
                  </w:pPr>
                </w:p>
              </w:tc>
              <w:tc>
                <w:tcPr>
                  <w:tcW w:w="712" w:type="dxa"/>
                  <w:vMerge w:val="continue"/>
                  <w:vAlign w:val="center"/>
                </w:tcPr>
                <w:p>
                  <w:pPr>
                    <w:pStyle w:val="110"/>
                    <w:rPr>
                      <w:color w:val="auto"/>
                    </w:rPr>
                  </w:pPr>
                </w:p>
              </w:tc>
              <w:tc>
                <w:tcPr>
                  <w:tcW w:w="709" w:type="dxa"/>
                  <w:vMerge w:val="continue"/>
                  <w:vAlign w:val="center"/>
                </w:tcPr>
                <w:p>
                  <w:pPr>
                    <w:pStyle w:val="110"/>
                    <w:rPr>
                      <w:color w:val="auto"/>
                    </w:rPr>
                  </w:pPr>
                </w:p>
              </w:tc>
              <w:tc>
                <w:tcPr>
                  <w:tcW w:w="1857" w:type="dxa"/>
                  <w:vAlign w:val="center"/>
                </w:tcPr>
                <w:p>
                  <w:pPr>
                    <w:spacing w:line="240" w:lineRule="auto"/>
                    <w:ind w:firstLine="0" w:firstLineChars="0"/>
                    <w:jc w:val="center"/>
                    <w:rPr>
                      <w:rFonts w:hint="eastAsia"/>
                      <w:color w:val="auto"/>
                      <w:lang w:val="en-US" w:eastAsia="zh-CN"/>
                    </w:rPr>
                  </w:pPr>
                  <w:r>
                    <w:rPr>
                      <w:rFonts w:hint="eastAsia"/>
                      <w:color w:val="auto"/>
                      <w:sz w:val="21"/>
                      <w:szCs w:val="21"/>
                    </w:rPr>
                    <w:t>南</w:t>
                  </w:r>
                  <w:r>
                    <w:rPr>
                      <w:rFonts w:hint="eastAsia"/>
                      <w:color w:val="auto"/>
                      <w:sz w:val="21"/>
                      <w:szCs w:val="21"/>
                      <w:lang w:val="en-US" w:eastAsia="zh-CN"/>
                    </w:rPr>
                    <w:t>侧厂房外1.0m</w:t>
                  </w:r>
                </w:p>
              </w:tc>
              <w:tc>
                <w:tcPr>
                  <w:tcW w:w="963" w:type="dxa"/>
                  <w:vMerge w:val="continue"/>
                  <w:vAlign w:val="center"/>
                </w:tcPr>
                <w:p>
                  <w:pPr>
                    <w:pStyle w:val="110"/>
                    <w:rPr>
                      <w:rFonts w:hint="eastAsia"/>
                      <w:color w:val="auto"/>
                      <w:lang w:val="en-US" w:eastAsia="zh-CN"/>
                    </w:rPr>
                  </w:pPr>
                </w:p>
              </w:tc>
              <w:tc>
                <w:tcPr>
                  <w:tcW w:w="3468" w:type="dxa"/>
                  <w:vMerge w:val="continue"/>
                  <w:vAlign w:val="center"/>
                </w:tcPr>
                <w:p>
                  <w:pPr>
                    <w:pStyle w:val="110"/>
                    <w:rPr>
                      <w:rFonts w:hint="eastAsia"/>
                      <w:color w:val="auto"/>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83" w:type="dxa"/>
                  <w:vMerge w:val="continue"/>
                  <w:vAlign w:val="center"/>
                </w:tcPr>
                <w:p>
                  <w:pPr>
                    <w:pStyle w:val="110"/>
                    <w:rPr>
                      <w:rFonts w:hint="eastAsia"/>
                      <w:color w:val="auto"/>
                      <w:lang w:val="en-US" w:eastAsia="zh-CN"/>
                    </w:rPr>
                  </w:pPr>
                </w:p>
              </w:tc>
              <w:tc>
                <w:tcPr>
                  <w:tcW w:w="712" w:type="dxa"/>
                  <w:vMerge w:val="continue"/>
                  <w:vAlign w:val="center"/>
                </w:tcPr>
                <w:p>
                  <w:pPr>
                    <w:pStyle w:val="110"/>
                    <w:rPr>
                      <w:rFonts w:hint="eastAsia"/>
                      <w:color w:val="auto"/>
                      <w:lang w:val="en-US" w:eastAsia="zh-CN"/>
                    </w:rPr>
                  </w:pPr>
                </w:p>
              </w:tc>
              <w:tc>
                <w:tcPr>
                  <w:tcW w:w="709" w:type="dxa"/>
                  <w:vMerge w:val="continue"/>
                  <w:vAlign w:val="center"/>
                </w:tcPr>
                <w:p>
                  <w:pPr>
                    <w:pStyle w:val="110"/>
                    <w:rPr>
                      <w:rFonts w:hint="eastAsia"/>
                      <w:color w:val="auto"/>
                      <w:lang w:val="en-US" w:eastAsia="zh-CN"/>
                    </w:rPr>
                  </w:pPr>
                </w:p>
              </w:tc>
              <w:tc>
                <w:tcPr>
                  <w:tcW w:w="1857" w:type="dxa"/>
                  <w:vAlign w:val="center"/>
                </w:tcPr>
                <w:p>
                  <w:pPr>
                    <w:spacing w:line="240" w:lineRule="auto"/>
                    <w:ind w:firstLine="0" w:firstLineChars="0"/>
                    <w:jc w:val="center"/>
                    <w:rPr>
                      <w:rFonts w:hint="eastAsia"/>
                      <w:color w:val="auto"/>
                      <w:lang w:val="en-US" w:eastAsia="zh-CN"/>
                    </w:rPr>
                  </w:pPr>
                  <w:r>
                    <w:rPr>
                      <w:rFonts w:hint="eastAsia"/>
                      <w:color w:val="auto"/>
                      <w:sz w:val="21"/>
                      <w:szCs w:val="21"/>
                    </w:rPr>
                    <w:t>西</w:t>
                  </w:r>
                  <w:r>
                    <w:rPr>
                      <w:rFonts w:hint="eastAsia"/>
                      <w:color w:val="auto"/>
                      <w:sz w:val="21"/>
                      <w:szCs w:val="21"/>
                      <w:lang w:val="en-US" w:eastAsia="zh-CN"/>
                    </w:rPr>
                    <w:t>侧厂房外1.0m</w:t>
                  </w:r>
                </w:p>
              </w:tc>
              <w:tc>
                <w:tcPr>
                  <w:tcW w:w="963" w:type="dxa"/>
                  <w:vMerge w:val="continue"/>
                  <w:vAlign w:val="center"/>
                </w:tcPr>
                <w:p>
                  <w:pPr>
                    <w:pStyle w:val="110"/>
                    <w:rPr>
                      <w:rFonts w:hint="eastAsia"/>
                      <w:color w:val="auto"/>
                      <w:lang w:val="en-US" w:eastAsia="zh-CN"/>
                    </w:rPr>
                  </w:pPr>
                </w:p>
              </w:tc>
              <w:tc>
                <w:tcPr>
                  <w:tcW w:w="3468" w:type="dxa"/>
                  <w:vMerge w:val="continue"/>
                  <w:vAlign w:val="center"/>
                </w:tcPr>
                <w:p>
                  <w:pPr>
                    <w:pStyle w:val="110"/>
                    <w:rPr>
                      <w:rFonts w:hint="eastAsia"/>
                      <w:color w:val="auto"/>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683" w:type="dxa"/>
                  <w:vMerge w:val="continue"/>
                  <w:vAlign w:val="center"/>
                </w:tcPr>
                <w:p>
                  <w:pPr>
                    <w:pStyle w:val="110"/>
                    <w:rPr>
                      <w:rFonts w:hint="eastAsia"/>
                      <w:color w:val="auto"/>
                      <w:lang w:val="en-US" w:eastAsia="zh-CN"/>
                    </w:rPr>
                  </w:pPr>
                </w:p>
              </w:tc>
              <w:tc>
                <w:tcPr>
                  <w:tcW w:w="712" w:type="dxa"/>
                  <w:vMerge w:val="continue"/>
                  <w:vAlign w:val="center"/>
                </w:tcPr>
                <w:p>
                  <w:pPr>
                    <w:pStyle w:val="110"/>
                    <w:rPr>
                      <w:rFonts w:hint="eastAsia"/>
                      <w:color w:val="auto"/>
                      <w:lang w:val="en-US" w:eastAsia="zh-CN"/>
                    </w:rPr>
                  </w:pPr>
                </w:p>
              </w:tc>
              <w:tc>
                <w:tcPr>
                  <w:tcW w:w="709" w:type="dxa"/>
                  <w:vMerge w:val="continue"/>
                  <w:vAlign w:val="center"/>
                </w:tcPr>
                <w:p>
                  <w:pPr>
                    <w:pStyle w:val="110"/>
                    <w:rPr>
                      <w:rFonts w:hint="eastAsia"/>
                      <w:color w:val="auto"/>
                      <w:lang w:val="en-US" w:eastAsia="zh-CN"/>
                    </w:rPr>
                  </w:pPr>
                </w:p>
              </w:tc>
              <w:tc>
                <w:tcPr>
                  <w:tcW w:w="1857" w:type="dxa"/>
                  <w:vAlign w:val="center"/>
                </w:tcPr>
                <w:p>
                  <w:pPr>
                    <w:spacing w:line="240" w:lineRule="auto"/>
                    <w:ind w:firstLine="0" w:firstLineChars="0"/>
                    <w:jc w:val="center"/>
                    <w:rPr>
                      <w:rFonts w:hint="eastAsia"/>
                      <w:color w:val="auto"/>
                      <w:lang w:val="en-US" w:eastAsia="zh-CN"/>
                    </w:rPr>
                  </w:pPr>
                  <w:r>
                    <w:rPr>
                      <w:rFonts w:hint="eastAsia"/>
                      <w:color w:val="auto"/>
                      <w:sz w:val="21"/>
                      <w:szCs w:val="21"/>
                    </w:rPr>
                    <w:t>北</w:t>
                  </w:r>
                  <w:r>
                    <w:rPr>
                      <w:rFonts w:hint="eastAsia"/>
                      <w:color w:val="auto"/>
                      <w:sz w:val="21"/>
                      <w:szCs w:val="21"/>
                      <w:lang w:val="en-US" w:eastAsia="zh-CN"/>
                    </w:rPr>
                    <w:t>侧厂房外1.0m</w:t>
                  </w:r>
                </w:p>
              </w:tc>
              <w:tc>
                <w:tcPr>
                  <w:tcW w:w="963" w:type="dxa"/>
                  <w:vMerge w:val="continue"/>
                  <w:vAlign w:val="center"/>
                </w:tcPr>
                <w:p>
                  <w:pPr>
                    <w:pStyle w:val="110"/>
                    <w:rPr>
                      <w:rFonts w:hint="eastAsia"/>
                      <w:color w:val="auto"/>
                      <w:lang w:val="en-US" w:eastAsia="zh-CN"/>
                    </w:rPr>
                  </w:pPr>
                </w:p>
              </w:tc>
              <w:tc>
                <w:tcPr>
                  <w:tcW w:w="3468" w:type="dxa"/>
                  <w:vMerge w:val="continue"/>
                  <w:vAlign w:val="center"/>
                </w:tcPr>
                <w:p>
                  <w:pPr>
                    <w:pStyle w:val="110"/>
                    <w:rPr>
                      <w:rFonts w:hint="eastAsia"/>
                      <w:color w:val="auto"/>
                      <w:lang w:val="en-US" w:eastAsia="zh-CN"/>
                    </w:rPr>
                  </w:pPr>
                </w:p>
              </w:tc>
            </w:tr>
          </w:tbl>
          <w:p>
            <w:pPr>
              <w:pStyle w:val="111"/>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b/>
                <w:bCs/>
                <w:color w:val="auto"/>
                <w:sz w:val="24"/>
                <w:szCs w:val="22"/>
              </w:rPr>
            </w:pPr>
            <w:r>
              <w:rPr>
                <w:rFonts w:hint="eastAsia"/>
                <w:b/>
                <w:bCs/>
                <w:color w:val="auto"/>
                <w:sz w:val="24"/>
                <w:szCs w:val="22"/>
              </w:rPr>
              <w:t>（4）噪声污染防治措施可行性分析</w:t>
            </w:r>
          </w:p>
          <w:p>
            <w:pPr>
              <w:snapToGrid w:val="0"/>
              <w:spacing w:line="360" w:lineRule="auto"/>
              <w:ind w:firstLine="480" w:firstLineChars="200"/>
              <w:rPr>
                <w:color w:val="auto"/>
                <w:sz w:val="24"/>
              </w:rPr>
            </w:pPr>
            <w:r>
              <w:rPr>
                <w:color w:val="auto"/>
                <w:sz w:val="24"/>
              </w:rPr>
              <w:t>为了进一步降低噪声污染，建设单位已采取以下防治措施：</w:t>
            </w:r>
          </w:p>
          <w:p>
            <w:pPr>
              <w:snapToGrid w:val="0"/>
              <w:spacing w:line="360" w:lineRule="auto"/>
              <w:ind w:firstLine="480" w:firstLineChars="200"/>
              <w:rPr>
                <w:color w:val="auto"/>
                <w:sz w:val="24"/>
              </w:rPr>
            </w:pPr>
            <w:r>
              <w:rPr>
                <w:color w:val="auto"/>
                <w:sz w:val="24"/>
              </w:rPr>
              <w:t xml:space="preserve">①控制设备噪声 </w:t>
            </w:r>
          </w:p>
          <w:p>
            <w:pPr>
              <w:snapToGrid w:val="0"/>
              <w:spacing w:line="360" w:lineRule="auto"/>
              <w:ind w:firstLine="480" w:firstLineChars="200"/>
              <w:rPr>
                <w:rFonts w:hint="default" w:eastAsia="宋体"/>
                <w:color w:val="auto"/>
                <w:sz w:val="24"/>
                <w:lang w:val="en-US" w:eastAsia="zh-CN"/>
              </w:rPr>
            </w:pPr>
            <w:r>
              <w:rPr>
                <w:color w:val="auto"/>
                <w:sz w:val="24"/>
              </w:rPr>
              <w:t>设备选型时选用先进低噪声设备，在满足工艺设计的前提下，尽量选用满足</w:t>
            </w:r>
            <w:r>
              <w:rPr>
                <w:rFonts w:hint="eastAsia"/>
                <w:color w:val="auto"/>
                <w:sz w:val="24"/>
                <w:lang w:val="en-US" w:eastAsia="zh-CN"/>
              </w:rPr>
              <w:t>国家</w:t>
            </w:r>
            <w:r>
              <w:rPr>
                <w:color w:val="auto"/>
                <w:sz w:val="24"/>
              </w:rPr>
              <w:t>标准的低噪声、低振动型号的设备，降低噪声源强。</w:t>
            </w:r>
            <w:r>
              <w:rPr>
                <w:rFonts w:hint="eastAsia"/>
                <w:color w:val="auto"/>
                <w:sz w:val="24"/>
                <w:lang w:val="en-US" w:eastAsia="zh-CN"/>
              </w:rPr>
              <w:t>生产设备采取基础减振、定期维护等措施。</w:t>
            </w:r>
          </w:p>
          <w:p>
            <w:pPr>
              <w:snapToGrid w:val="0"/>
              <w:spacing w:line="360" w:lineRule="auto"/>
              <w:ind w:firstLine="480" w:firstLineChars="200"/>
              <w:rPr>
                <w:color w:val="auto"/>
                <w:sz w:val="24"/>
              </w:rPr>
            </w:pPr>
            <w:r>
              <w:rPr>
                <w:color w:val="auto"/>
                <w:sz w:val="24"/>
              </w:rPr>
              <w:t>②加强建筑物隔声措施</w:t>
            </w:r>
            <w:r>
              <w:rPr>
                <w:rFonts w:hint="eastAsia"/>
                <w:color w:val="auto"/>
                <w:sz w:val="24"/>
                <w:lang w:eastAsia="zh-CN"/>
              </w:rPr>
              <w:t>，</w:t>
            </w:r>
            <w:r>
              <w:rPr>
                <w:color w:val="auto"/>
                <w:sz w:val="24"/>
              </w:rPr>
              <w:t>室内高噪声设备合理布局，有效利用了建筑隔声，防止噪声的扩散和传播，正常生产时门窗密闭。</w:t>
            </w:r>
          </w:p>
          <w:p>
            <w:pPr>
              <w:snapToGrid w:val="0"/>
              <w:spacing w:line="360" w:lineRule="auto"/>
              <w:ind w:firstLine="480" w:firstLineChars="200"/>
              <w:rPr>
                <w:color w:val="auto"/>
                <w:sz w:val="24"/>
              </w:rPr>
            </w:pPr>
            <w:r>
              <w:rPr>
                <w:color w:val="auto"/>
                <w:sz w:val="24"/>
              </w:rPr>
              <w:t>③强化生产管理：加强对生产设备的保养，</w:t>
            </w:r>
            <w:r>
              <w:rPr>
                <w:rFonts w:hint="eastAsia"/>
                <w:color w:val="auto"/>
                <w:sz w:val="24"/>
                <w:lang w:eastAsia="zh-CN"/>
              </w:rPr>
              <w:t>定期</w:t>
            </w:r>
            <w:r>
              <w:rPr>
                <w:color w:val="auto"/>
                <w:sz w:val="24"/>
              </w:rPr>
              <w:t>进行检修与润滑，保证设备处于良好的运转状态；加强职工环保意识教育，提倡文明生产，防止人为噪声；强化行车管理制度，设置降噪标准，严禁鸣笛，低速行驶，最大限度减少流动噪声源。</w:t>
            </w:r>
          </w:p>
          <w:p>
            <w:pPr>
              <w:snapToGrid w:val="0"/>
              <w:spacing w:line="360" w:lineRule="auto"/>
              <w:ind w:firstLine="480" w:firstLineChars="200"/>
              <w:rPr>
                <w:color w:val="auto"/>
                <w:sz w:val="24"/>
              </w:rPr>
            </w:pPr>
            <w:r>
              <w:rPr>
                <w:color w:val="auto"/>
                <w:sz w:val="24"/>
              </w:rPr>
              <w:t>严格按照上述治理措施降噪后，项目昼间噪声值均满足《工业企业厂界环境噪声排放标准》（GB12348-2008）3类标准要求，噪声控制措施可行。</w:t>
            </w:r>
          </w:p>
          <w:p>
            <w:pPr>
              <w:adjustRightInd w:val="0"/>
              <w:snapToGrid w:val="0"/>
              <w:spacing w:line="360" w:lineRule="auto"/>
              <w:ind w:firstLine="482" w:firstLineChars="200"/>
              <w:jc w:val="left"/>
              <w:rPr>
                <w:b/>
                <w:bCs/>
                <w:color w:val="auto"/>
                <w:sz w:val="24"/>
              </w:rPr>
            </w:pPr>
            <w:r>
              <w:rPr>
                <w:rFonts w:hint="eastAsia"/>
                <w:b/>
                <w:bCs/>
                <w:color w:val="auto"/>
                <w:sz w:val="24"/>
                <w:lang w:val="en-US" w:eastAsia="zh-CN"/>
              </w:rPr>
              <w:t>4</w:t>
            </w:r>
            <w:r>
              <w:rPr>
                <w:b/>
                <w:bCs/>
                <w:color w:val="auto"/>
                <w:sz w:val="24"/>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b/>
                <w:bCs/>
                <w:color w:val="auto"/>
                <w:sz w:val="24"/>
                <w:szCs w:val="32"/>
              </w:rPr>
              <w:t>（1）生活垃圾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厂区员工日常产生的生活垃圾属于一般生活垃圾。生活垃圾排放系数参照《城镇生活源产生排污系数手册》进行估算。</w:t>
            </w:r>
            <w:r>
              <w:rPr>
                <w:color w:val="auto"/>
                <w:sz w:val="24"/>
                <w:szCs w:val="32"/>
                <w:highlight w:val="none"/>
              </w:rPr>
              <w:t>该项目工作定员</w:t>
            </w:r>
            <w:r>
              <w:rPr>
                <w:rFonts w:hint="eastAsia"/>
                <w:color w:val="auto"/>
                <w:sz w:val="24"/>
                <w:szCs w:val="32"/>
                <w:highlight w:val="none"/>
                <w:lang w:val="en-US" w:eastAsia="zh-CN"/>
              </w:rPr>
              <w:t>20</w:t>
            </w:r>
            <w:r>
              <w:rPr>
                <w:color w:val="auto"/>
                <w:sz w:val="24"/>
                <w:szCs w:val="32"/>
                <w:highlight w:val="none"/>
              </w:rPr>
              <w:t>人，</w:t>
            </w:r>
            <w:r>
              <w:rPr>
                <w:color w:val="auto"/>
                <w:sz w:val="24"/>
                <w:szCs w:val="32"/>
              </w:rPr>
              <w:t>生活垃圾产生量按0.</w:t>
            </w:r>
            <w:r>
              <w:rPr>
                <w:rFonts w:hint="eastAsia"/>
                <w:color w:val="auto"/>
                <w:sz w:val="24"/>
                <w:szCs w:val="32"/>
              </w:rPr>
              <w:t>38</w:t>
            </w:r>
            <w:r>
              <w:rPr>
                <w:color w:val="auto"/>
                <w:sz w:val="24"/>
                <w:szCs w:val="32"/>
              </w:rPr>
              <w:t>kg/人•d计算，则生活垃圾量为</w:t>
            </w:r>
            <w:r>
              <w:rPr>
                <w:rFonts w:hint="eastAsia"/>
                <w:color w:val="auto"/>
                <w:sz w:val="24"/>
                <w:szCs w:val="32"/>
                <w:lang w:val="en-US" w:eastAsia="zh-CN"/>
              </w:rPr>
              <w:t>7.6</w:t>
            </w:r>
            <w:r>
              <w:rPr>
                <w:color w:val="auto"/>
                <w:sz w:val="24"/>
                <w:szCs w:val="32"/>
              </w:rPr>
              <w:t>kg/d，即</w:t>
            </w:r>
            <w:r>
              <w:rPr>
                <w:rFonts w:hint="eastAsia"/>
                <w:color w:val="auto"/>
                <w:sz w:val="24"/>
                <w:szCs w:val="32"/>
                <w:lang w:val="en-US" w:eastAsia="zh-CN"/>
              </w:rPr>
              <w:t>2.28</w:t>
            </w:r>
            <w:r>
              <w:rPr>
                <w:color w:val="auto"/>
                <w:sz w:val="24"/>
                <w:szCs w:val="32"/>
              </w:rPr>
              <w:t>t/a。</w:t>
            </w:r>
            <w:r>
              <w:rPr>
                <w:rFonts w:hint="eastAsia"/>
                <w:color w:val="auto"/>
                <w:sz w:val="24"/>
                <w:szCs w:val="32"/>
              </w:rPr>
              <w:t>生活垃圾分类收集后</w:t>
            </w:r>
            <w:r>
              <w:rPr>
                <w:rFonts w:hint="eastAsia"/>
                <w:color w:val="auto"/>
                <w:sz w:val="24"/>
                <w:szCs w:val="32"/>
                <w:lang w:val="en-US" w:eastAsia="zh-CN"/>
              </w:rPr>
              <w:t>交当地环卫部门外运处置</w:t>
            </w:r>
            <w:r>
              <w:rPr>
                <w:rFonts w:hint="eastAsia"/>
                <w:color w:val="auto"/>
                <w:sz w:val="24"/>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rPr>
              <w:t>（2）工业固废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①一般工业固废</w:t>
            </w:r>
          </w:p>
          <w:p>
            <w:pPr>
              <w:spacing w:line="360" w:lineRule="auto"/>
              <w:ind w:firstLine="480"/>
              <w:jc w:val="left"/>
              <w:rPr>
                <w:color w:val="auto"/>
                <w:kern w:val="0"/>
                <w:sz w:val="24"/>
                <w:szCs w:val="32"/>
              </w:rPr>
            </w:pPr>
            <w:r>
              <w:rPr>
                <w:rFonts w:hint="eastAsia"/>
                <w:color w:val="auto"/>
                <w:kern w:val="0"/>
                <w:sz w:val="24"/>
                <w:szCs w:val="32"/>
                <w:lang w:val="en-US" w:eastAsia="zh-CN"/>
              </w:rPr>
              <w:t>本</w:t>
            </w:r>
            <w:r>
              <w:rPr>
                <w:color w:val="auto"/>
                <w:kern w:val="0"/>
                <w:sz w:val="24"/>
                <w:szCs w:val="32"/>
              </w:rPr>
              <w:t>项目在运营期间产生一定量的废包装材料主要包括废塑料膜、废编带等，根据建设单位提供资料，其产生量约为</w:t>
            </w:r>
            <w:r>
              <w:rPr>
                <w:rFonts w:hint="eastAsia"/>
                <w:color w:val="auto"/>
                <w:kern w:val="0"/>
                <w:sz w:val="24"/>
                <w:szCs w:val="32"/>
                <w:lang w:val="en-US" w:eastAsia="zh-CN"/>
              </w:rPr>
              <w:t>1</w:t>
            </w:r>
            <w:r>
              <w:rPr>
                <w:color w:val="auto"/>
                <w:kern w:val="0"/>
                <w:sz w:val="24"/>
                <w:szCs w:val="32"/>
              </w:rPr>
              <w:t>.0t/a，分类收集外售综合利用。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32"/>
                <w:lang w:val="en-US" w:eastAsia="zh-CN"/>
              </w:rPr>
            </w:pPr>
            <w:r>
              <w:rPr>
                <w:color w:val="auto"/>
                <w:kern w:val="0"/>
                <w:sz w:val="24"/>
                <w:szCs w:val="32"/>
              </w:rPr>
              <w:t>根据建设单位提供资料，</w:t>
            </w:r>
            <w:r>
              <w:rPr>
                <w:rFonts w:hint="eastAsia"/>
                <w:color w:val="auto"/>
                <w:sz w:val="24"/>
                <w:szCs w:val="32"/>
                <w:lang w:val="en-US" w:eastAsia="zh-CN"/>
              </w:rPr>
              <w:t>检验检测工序筛选的不合格产品约2.0t/a，玻璃制品在生产过程中产生的残次品约3.0t/a，分类收集后外售综合利用。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②危险废物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lang w:val="en-US"/>
              </w:rPr>
            </w:pPr>
            <w:r>
              <w:rPr>
                <w:rFonts w:hint="eastAsia"/>
                <w:color w:val="auto"/>
                <w:sz w:val="24"/>
                <w:szCs w:val="32"/>
              </w:rPr>
              <w:t>本项目设备在日常保养及检修过程中会产生废润滑油、废油桶、废含油抹布</w:t>
            </w:r>
            <w:r>
              <w:rPr>
                <w:rFonts w:hint="eastAsia"/>
                <w:color w:val="auto"/>
                <w:sz w:val="24"/>
                <w:szCs w:val="32"/>
                <w:lang w:val="en-US"/>
              </w:rPr>
              <w:t>/手套等危险废物、废活性炭</w:t>
            </w:r>
            <w:r>
              <w:rPr>
                <w:rFonts w:hint="eastAsia"/>
                <w:color w:val="auto"/>
                <w:sz w:val="24"/>
                <w:szCs w:val="32"/>
                <w:lang w:val="en-US" w:eastAsia="zh-CN"/>
              </w:rPr>
              <w:t>和废过滤棉</w:t>
            </w:r>
            <w:r>
              <w:rPr>
                <w:rFonts w:hint="eastAsia"/>
                <w:color w:val="auto"/>
                <w:sz w:val="24"/>
                <w:szCs w:val="32"/>
                <w:lang w:val="en-US"/>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lang w:val="en-US"/>
              </w:rPr>
            </w:pPr>
            <w:r>
              <w:rPr>
                <w:rFonts w:hint="eastAsia"/>
                <w:color w:val="auto"/>
                <w:sz w:val="24"/>
                <w:szCs w:val="32"/>
                <w:lang w:val="en-US" w:eastAsia="zh-CN"/>
              </w:rPr>
              <w:t>每月对设备进行保养一次，每年对设备检修一次，根据建设单位提供资料，</w:t>
            </w:r>
            <w:r>
              <w:rPr>
                <w:rFonts w:hint="eastAsia"/>
                <w:color w:val="auto"/>
                <w:sz w:val="24"/>
                <w:szCs w:val="32"/>
                <w:lang w:val="en-US"/>
              </w:rPr>
              <w:t>废润滑油产生量约</w:t>
            </w:r>
            <w:r>
              <w:rPr>
                <w:rFonts w:hint="eastAsia"/>
                <w:color w:val="auto"/>
                <w:sz w:val="24"/>
                <w:szCs w:val="32"/>
                <w:lang w:val="en-US" w:eastAsia="zh-CN"/>
              </w:rPr>
              <w:t>0.9</w:t>
            </w:r>
            <w:r>
              <w:rPr>
                <w:rFonts w:hint="eastAsia"/>
                <w:color w:val="auto"/>
                <w:sz w:val="24"/>
                <w:szCs w:val="32"/>
                <w:lang w:val="en-US"/>
              </w:rPr>
              <w:t>t/a，废物类别HW08，废物代码900-217-08；废油桶产生量约0.</w:t>
            </w:r>
            <w:r>
              <w:rPr>
                <w:rFonts w:hint="eastAsia"/>
                <w:color w:val="auto"/>
                <w:sz w:val="24"/>
                <w:szCs w:val="32"/>
                <w:lang w:val="en-US" w:eastAsia="zh-CN"/>
              </w:rPr>
              <w:t>05</w:t>
            </w:r>
            <w:r>
              <w:rPr>
                <w:rFonts w:hint="eastAsia"/>
                <w:color w:val="auto"/>
                <w:sz w:val="24"/>
                <w:szCs w:val="32"/>
                <w:lang w:val="en-US"/>
              </w:rPr>
              <w:t>t/a，废物类别HW08，废物代码900-041-49；废含油抹布/手套产生量0.0</w:t>
            </w:r>
            <w:r>
              <w:rPr>
                <w:rFonts w:hint="eastAsia"/>
                <w:color w:val="auto"/>
                <w:sz w:val="24"/>
                <w:szCs w:val="32"/>
                <w:lang w:val="en-US" w:eastAsia="zh-CN"/>
              </w:rPr>
              <w:t>5</w:t>
            </w:r>
            <w:r>
              <w:rPr>
                <w:rFonts w:hint="eastAsia"/>
                <w:color w:val="auto"/>
                <w:sz w:val="24"/>
                <w:szCs w:val="32"/>
                <w:lang w:val="en-US"/>
              </w:rPr>
              <w:t>t/a，废物类别HW49，废物代码900-041-49。</w:t>
            </w:r>
          </w:p>
          <w:p>
            <w:pPr>
              <w:spacing w:line="360" w:lineRule="auto"/>
              <w:ind w:firstLine="480"/>
              <w:jc w:val="left"/>
              <w:rPr>
                <w:color w:val="auto"/>
                <w:sz w:val="24"/>
                <w:szCs w:val="32"/>
              </w:rPr>
            </w:pPr>
            <w:r>
              <w:rPr>
                <w:rFonts w:hint="eastAsia"/>
                <w:color w:val="auto"/>
                <w:kern w:val="0"/>
                <w:sz w:val="24"/>
                <w:szCs w:val="32"/>
                <w:lang w:val="en-US" w:eastAsia="zh-CN"/>
              </w:rPr>
              <w:t>本项目</w:t>
            </w:r>
            <w:r>
              <w:rPr>
                <w:color w:val="auto"/>
                <w:kern w:val="0"/>
                <w:sz w:val="24"/>
                <w:szCs w:val="32"/>
              </w:rPr>
              <w:t>回流焊废气处理过程中会产生废过滤棉，主要吸附颗粒物以及少量非甲烷总烃；人工补焊废气处理过程中会产生废过滤棉，主要吸附颗粒物以及少量非甲烷总烃，经计算废气过程中吸附的颗粒物约0.</w:t>
            </w:r>
            <w:r>
              <w:rPr>
                <w:rFonts w:hint="eastAsia"/>
                <w:color w:val="auto"/>
                <w:kern w:val="0"/>
                <w:sz w:val="24"/>
                <w:szCs w:val="32"/>
                <w:lang w:val="en-US" w:eastAsia="zh-CN"/>
              </w:rPr>
              <w:t>15kg</w:t>
            </w:r>
            <w:r>
              <w:rPr>
                <w:color w:val="auto"/>
                <w:kern w:val="0"/>
                <w:sz w:val="24"/>
                <w:szCs w:val="32"/>
              </w:rPr>
              <w:t>/a，以及少量的非甲烷总烃，本项目过滤棉使用量约</w:t>
            </w:r>
            <w:r>
              <w:rPr>
                <w:rFonts w:hint="eastAsia"/>
                <w:color w:val="auto"/>
                <w:kern w:val="0"/>
                <w:sz w:val="24"/>
                <w:szCs w:val="32"/>
                <w:lang w:val="en-US" w:eastAsia="zh-CN"/>
              </w:rPr>
              <w:t>30kg</w:t>
            </w:r>
            <w:r>
              <w:rPr>
                <w:color w:val="auto"/>
                <w:kern w:val="0"/>
                <w:sz w:val="24"/>
                <w:szCs w:val="32"/>
              </w:rPr>
              <w:t>/a，因此废过滤棉产生量约</w:t>
            </w:r>
            <w:r>
              <w:rPr>
                <w:rFonts w:hint="eastAsia"/>
                <w:color w:val="auto"/>
                <w:kern w:val="0"/>
                <w:sz w:val="24"/>
                <w:szCs w:val="32"/>
                <w:lang w:val="en-US" w:eastAsia="zh-CN"/>
              </w:rPr>
              <w:t>30.15kg</w:t>
            </w:r>
            <w:r>
              <w:rPr>
                <w:color w:val="auto"/>
                <w:kern w:val="0"/>
                <w:sz w:val="24"/>
                <w:szCs w:val="32"/>
              </w:rPr>
              <w:t>/a，过滤棉每月更换一次，</w:t>
            </w:r>
            <w:r>
              <w:rPr>
                <w:color w:val="auto"/>
                <w:sz w:val="24"/>
                <w:szCs w:val="32"/>
              </w:rPr>
              <w:t>属于《国家危险废物名录》（2021版）中HW49其他废物，其危废代码为：900-047-49，定期交由有资质单位回收处理。</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olor w:val="auto"/>
                <w:sz w:val="24"/>
                <w:szCs w:val="24"/>
                <w:lang w:val="en-US"/>
              </w:rPr>
            </w:pPr>
            <w:r>
              <w:rPr>
                <w:rFonts w:hint="eastAsia"/>
                <w:color w:val="auto"/>
                <w:sz w:val="24"/>
                <w:szCs w:val="24"/>
                <w:lang w:val="en-US"/>
              </w:rPr>
              <w:t>本项目采用活性炭作为吸附剂，</w:t>
            </w:r>
            <w:r>
              <w:rPr>
                <w:rFonts w:hint="eastAsia"/>
                <w:color w:val="auto"/>
                <w:sz w:val="24"/>
                <w:szCs w:val="24"/>
              </w:rPr>
              <w:t>根据</w:t>
            </w:r>
            <w:r>
              <w:rPr>
                <w:color w:val="auto"/>
                <w:sz w:val="24"/>
                <w:szCs w:val="24"/>
              </w:rPr>
              <w:t>《西安市挥发性有机物污染整治专项实施方案》</w:t>
            </w:r>
            <w:r>
              <w:rPr>
                <w:rFonts w:hint="eastAsia"/>
                <w:color w:val="auto"/>
                <w:sz w:val="24"/>
                <w:szCs w:val="24"/>
              </w:rPr>
              <w:t>中要求，</w:t>
            </w:r>
            <w:r>
              <w:rPr>
                <w:rFonts w:hint="eastAsia"/>
                <w:color w:val="auto"/>
                <w:sz w:val="24"/>
                <w:szCs w:val="24"/>
                <w:lang w:val="en-US"/>
              </w:rPr>
              <w:t>活性炭CTC值≥</w:t>
            </w:r>
            <w:r>
              <w:rPr>
                <w:rFonts w:hint="eastAsia"/>
                <w:color w:val="auto"/>
                <w:sz w:val="24"/>
                <w:szCs w:val="24"/>
                <w:lang w:val="en-US" w:eastAsia="zh-CN"/>
              </w:rPr>
              <w:t>60</w:t>
            </w:r>
            <w:r>
              <w:rPr>
                <w:rFonts w:hint="eastAsia"/>
                <w:color w:val="auto"/>
                <w:sz w:val="24"/>
                <w:szCs w:val="24"/>
                <w:lang w:val="en-US"/>
              </w:rPr>
              <w:t>%，即每吨活性炭可吸附0.</w:t>
            </w:r>
            <w:r>
              <w:rPr>
                <w:rFonts w:hint="eastAsia"/>
                <w:color w:val="auto"/>
                <w:sz w:val="24"/>
                <w:szCs w:val="24"/>
                <w:lang w:val="en-US" w:eastAsia="zh-CN"/>
              </w:rPr>
              <w:t>6</w:t>
            </w:r>
            <w:r>
              <w:rPr>
                <w:rFonts w:hint="eastAsia"/>
                <w:color w:val="auto"/>
                <w:sz w:val="24"/>
                <w:szCs w:val="24"/>
                <w:lang w:val="en-US"/>
              </w:rPr>
              <w:t>t有机废气。本项目非甲烷总烃处理量为</w:t>
            </w:r>
            <w:r>
              <w:rPr>
                <w:rFonts w:hint="eastAsia"/>
                <w:color w:val="auto"/>
                <w:sz w:val="24"/>
                <w:szCs w:val="24"/>
                <w:lang w:val="en-US" w:eastAsia="zh-CN"/>
              </w:rPr>
              <w:t>13.3kg</w:t>
            </w:r>
            <w:r>
              <w:rPr>
                <w:rFonts w:hint="eastAsia"/>
                <w:color w:val="auto"/>
                <w:sz w:val="24"/>
                <w:szCs w:val="24"/>
                <w:lang w:val="en-US"/>
              </w:rPr>
              <w:t>/a，</w:t>
            </w:r>
            <w:r>
              <w:rPr>
                <w:rFonts w:hint="eastAsia"/>
                <w:color w:val="auto"/>
                <w:sz w:val="24"/>
                <w:szCs w:val="24"/>
                <w:lang w:val="en-US" w:eastAsia="zh-CN"/>
              </w:rPr>
              <w:t>经核算</w:t>
            </w:r>
            <w:r>
              <w:rPr>
                <w:rFonts w:hint="eastAsia"/>
                <w:color w:val="auto"/>
                <w:sz w:val="24"/>
                <w:szCs w:val="24"/>
                <w:lang w:val="en-US"/>
              </w:rPr>
              <w:t>活性炭消耗量为</w:t>
            </w:r>
            <w:r>
              <w:rPr>
                <w:rFonts w:hint="eastAsia"/>
                <w:color w:val="auto"/>
                <w:sz w:val="24"/>
                <w:szCs w:val="24"/>
                <w:lang w:val="en-US" w:eastAsia="zh-CN"/>
              </w:rPr>
              <w:t>22.5kg</w:t>
            </w:r>
            <w:r>
              <w:rPr>
                <w:rFonts w:hint="eastAsia"/>
                <w:color w:val="auto"/>
                <w:sz w:val="24"/>
                <w:szCs w:val="24"/>
                <w:lang w:val="en-US"/>
              </w:rPr>
              <w:t>/a，</w:t>
            </w:r>
            <w:r>
              <w:rPr>
                <w:rFonts w:hint="eastAsia"/>
                <w:color w:val="auto"/>
                <w:sz w:val="24"/>
                <w:szCs w:val="24"/>
                <w:lang w:val="en-US" w:eastAsia="zh-CN"/>
              </w:rPr>
              <w:t>每半年</w:t>
            </w:r>
            <w:r>
              <w:rPr>
                <w:rFonts w:hint="eastAsia"/>
                <w:color w:val="auto"/>
                <w:sz w:val="24"/>
                <w:szCs w:val="24"/>
                <w:lang w:val="en-US"/>
              </w:rPr>
              <w:t>更换一次，</w:t>
            </w:r>
            <w:r>
              <w:rPr>
                <w:rFonts w:hint="eastAsia"/>
                <w:color w:val="auto"/>
                <w:sz w:val="24"/>
                <w:szCs w:val="24"/>
                <w:lang w:val="en-US" w:eastAsia="zh-CN"/>
              </w:rPr>
              <w:t>建议每次更换量为30kg，</w:t>
            </w:r>
            <w:r>
              <w:rPr>
                <w:rFonts w:hint="eastAsia"/>
                <w:color w:val="auto"/>
                <w:sz w:val="24"/>
                <w:szCs w:val="24"/>
                <w:lang w:val="en-US"/>
              </w:rPr>
              <w:t>废活性炭产生量为</w:t>
            </w:r>
            <w:r>
              <w:rPr>
                <w:rFonts w:hint="eastAsia"/>
                <w:color w:val="auto"/>
                <w:sz w:val="24"/>
                <w:szCs w:val="24"/>
                <w:lang w:val="en-US" w:eastAsia="zh-CN"/>
              </w:rPr>
              <w:t>73.3kg</w:t>
            </w:r>
            <w:r>
              <w:rPr>
                <w:rFonts w:hint="eastAsia"/>
                <w:color w:val="auto"/>
                <w:sz w:val="24"/>
                <w:szCs w:val="24"/>
                <w:lang w:val="en-US"/>
              </w:rPr>
              <w:t>/a，废物类别HW49，废物代码900-039-49。</w:t>
            </w:r>
          </w:p>
          <w:p>
            <w:pPr>
              <w:pStyle w:val="98"/>
              <w:rPr>
                <w:b/>
                <w:bCs/>
                <w:color w:val="auto"/>
              </w:rPr>
            </w:pPr>
            <w:r>
              <w:rPr>
                <w:b/>
                <w:bCs/>
                <w:color w:val="auto"/>
              </w:rPr>
              <w:t>表4-</w:t>
            </w:r>
            <w:r>
              <w:rPr>
                <w:rFonts w:hint="eastAsia"/>
                <w:b/>
                <w:bCs/>
                <w:color w:val="auto"/>
              </w:rPr>
              <w:t>1</w:t>
            </w:r>
            <w:r>
              <w:rPr>
                <w:rFonts w:hint="eastAsia"/>
                <w:b/>
                <w:bCs/>
                <w:color w:val="auto"/>
                <w:lang w:val="en-US" w:eastAsia="zh-CN"/>
              </w:rPr>
              <w:t>2</w:t>
            </w:r>
            <w:r>
              <w:rPr>
                <w:b/>
                <w:bCs/>
                <w:color w:val="auto"/>
              </w:rPr>
              <w:t xml:space="preserve">    固废污染源源强核算结果及相关参数一览表</w:t>
            </w:r>
          </w:p>
          <w:tbl>
            <w:tblPr>
              <w:tblStyle w:val="29"/>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907"/>
              <w:gridCol w:w="746"/>
              <w:gridCol w:w="955"/>
              <w:gridCol w:w="940"/>
              <w:gridCol w:w="1073"/>
              <w:gridCol w:w="911"/>
              <w:gridCol w:w="9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restart"/>
                  <w:shd w:val="clear" w:color="auto" w:fill="auto"/>
                  <w:vAlign w:val="center"/>
                </w:tcPr>
                <w:p>
                  <w:pPr>
                    <w:pStyle w:val="98"/>
                    <w:rPr>
                      <w:color w:val="auto"/>
                    </w:rPr>
                  </w:pPr>
                  <w:r>
                    <w:rPr>
                      <w:rFonts w:hint="eastAsia"/>
                      <w:color w:val="auto"/>
                    </w:rPr>
                    <w:t>工序</w:t>
                  </w:r>
                </w:p>
              </w:tc>
              <w:tc>
                <w:tcPr>
                  <w:tcW w:w="1132" w:type="pct"/>
                  <w:vMerge w:val="restart"/>
                  <w:shd w:val="clear" w:color="auto" w:fill="auto"/>
                  <w:vAlign w:val="center"/>
                </w:tcPr>
                <w:p>
                  <w:pPr>
                    <w:pStyle w:val="98"/>
                    <w:rPr>
                      <w:color w:val="auto"/>
                    </w:rPr>
                  </w:pPr>
                  <w:r>
                    <w:rPr>
                      <w:color w:val="auto"/>
                    </w:rPr>
                    <w:t>固废名称</w:t>
                  </w:r>
                </w:p>
              </w:tc>
              <w:tc>
                <w:tcPr>
                  <w:tcW w:w="443" w:type="pct"/>
                  <w:vMerge w:val="restart"/>
                  <w:shd w:val="clear" w:color="auto" w:fill="auto"/>
                  <w:vAlign w:val="center"/>
                </w:tcPr>
                <w:p>
                  <w:pPr>
                    <w:pStyle w:val="98"/>
                    <w:rPr>
                      <w:color w:val="auto"/>
                    </w:rPr>
                  </w:pPr>
                  <w:r>
                    <w:rPr>
                      <w:color w:val="auto"/>
                    </w:rPr>
                    <w:t>固废属性</w:t>
                  </w:r>
                </w:p>
              </w:tc>
              <w:tc>
                <w:tcPr>
                  <w:tcW w:w="1125" w:type="pct"/>
                  <w:gridSpan w:val="2"/>
                  <w:shd w:val="clear" w:color="auto" w:fill="auto"/>
                  <w:vAlign w:val="center"/>
                </w:tcPr>
                <w:p>
                  <w:pPr>
                    <w:pStyle w:val="98"/>
                    <w:rPr>
                      <w:color w:val="auto"/>
                    </w:rPr>
                  </w:pPr>
                  <w:r>
                    <w:rPr>
                      <w:color w:val="auto"/>
                    </w:rPr>
                    <w:t>产生量</w:t>
                  </w:r>
                </w:p>
              </w:tc>
              <w:tc>
                <w:tcPr>
                  <w:tcW w:w="1178" w:type="pct"/>
                  <w:gridSpan w:val="2"/>
                  <w:shd w:val="clear" w:color="auto" w:fill="auto"/>
                  <w:vAlign w:val="center"/>
                </w:tcPr>
                <w:p>
                  <w:pPr>
                    <w:pStyle w:val="98"/>
                    <w:rPr>
                      <w:color w:val="auto"/>
                    </w:rPr>
                  </w:pPr>
                  <w:r>
                    <w:rPr>
                      <w:color w:val="auto"/>
                    </w:rPr>
                    <w:t>处置措施</w:t>
                  </w:r>
                </w:p>
              </w:tc>
              <w:tc>
                <w:tcPr>
                  <w:tcW w:w="585" w:type="pct"/>
                  <w:vMerge w:val="restart"/>
                  <w:shd w:val="clear" w:color="auto" w:fill="auto"/>
                  <w:vAlign w:val="center"/>
                </w:tcPr>
                <w:p>
                  <w:pPr>
                    <w:pStyle w:val="98"/>
                    <w:rPr>
                      <w:color w:val="auto"/>
                    </w:rPr>
                  </w:pPr>
                  <w:r>
                    <w:rPr>
                      <w:color w:val="auto"/>
                    </w:rPr>
                    <w:t>最终去向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continue"/>
                  <w:shd w:val="clear" w:color="auto" w:fill="auto"/>
                  <w:vAlign w:val="center"/>
                </w:tcPr>
                <w:p>
                  <w:pPr>
                    <w:pStyle w:val="98"/>
                    <w:rPr>
                      <w:color w:val="auto"/>
                    </w:rPr>
                  </w:pPr>
                </w:p>
              </w:tc>
              <w:tc>
                <w:tcPr>
                  <w:tcW w:w="1132" w:type="pct"/>
                  <w:vMerge w:val="continue"/>
                  <w:shd w:val="clear" w:color="auto" w:fill="auto"/>
                  <w:vAlign w:val="center"/>
                </w:tcPr>
                <w:p>
                  <w:pPr>
                    <w:pStyle w:val="98"/>
                    <w:rPr>
                      <w:color w:val="auto"/>
                    </w:rPr>
                  </w:pPr>
                </w:p>
              </w:tc>
              <w:tc>
                <w:tcPr>
                  <w:tcW w:w="443" w:type="pct"/>
                  <w:vMerge w:val="continue"/>
                  <w:shd w:val="clear" w:color="auto" w:fill="auto"/>
                  <w:vAlign w:val="center"/>
                </w:tcPr>
                <w:p>
                  <w:pPr>
                    <w:pStyle w:val="98"/>
                    <w:rPr>
                      <w:color w:val="auto"/>
                    </w:rPr>
                  </w:pPr>
                </w:p>
              </w:tc>
              <w:tc>
                <w:tcPr>
                  <w:tcW w:w="567" w:type="pct"/>
                  <w:shd w:val="clear" w:color="auto" w:fill="auto"/>
                  <w:vAlign w:val="center"/>
                </w:tcPr>
                <w:p>
                  <w:pPr>
                    <w:pStyle w:val="98"/>
                    <w:rPr>
                      <w:color w:val="auto"/>
                    </w:rPr>
                  </w:pPr>
                  <w:r>
                    <w:rPr>
                      <w:color w:val="auto"/>
                    </w:rPr>
                    <w:t>核算方法</w:t>
                  </w:r>
                </w:p>
              </w:tc>
              <w:tc>
                <w:tcPr>
                  <w:tcW w:w="558" w:type="pct"/>
                  <w:shd w:val="clear" w:color="auto" w:fill="auto"/>
                  <w:vAlign w:val="center"/>
                </w:tcPr>
                <w:p>
                  <w:pPr>
                    <w:pStyle w:val="98"/>
                    <w:rPr>
                      <w:color w:val="auto"/>
                    </w:rPr>
                  </w:pPr>
                  <w:r>
                    <w:rPr>
                      <w:color w:val="auto"/>
                    </w:rPr>
                    <w:t>产生量（t/a）</w:t>
                  </w:r>
                </w:p>
              </w:tc>
              <w:tc>
                <w:tcPr>
                  <w:tcW w:w="637" w:type="pct"/>
                  <w:shd w:val="clear" w:color="auto" w:fill="auto"/>
                  <w:vAlign w:val="center"/>
                </w:tcPr>
                <w:p>
                  <w:pPr>
                    <w:pStyle w:val="98"/>
                    <w:rPr>
                      <w:color w:val="auto"/>
                    </w:rPr>
                  </w:pPr>
                  <w:r>
                    <w:rPr>
                      <w:color w:val="auto"/>
                    </w:rPr>
                    <w:t>工艺</w:t>
                  </w:r>
                </w:p>
              </w:tc>
              <w:tc>
                <w:tcPr>
                  <w:tcW w:w="540" w:type="pct"/>
                  <w:shd w:val="clear" w:color="auto" w:fill="auto"/>
                  <w:vAlign w:val="center"/>
                </w:tcPr>
                <w:p>
                  <w:pPr>
                    <w:pStyle w:val="98"/>
                    <w:rPr>
                      <w:color w:val="auto"/>
                    </w:rPr>
                  </w:pPr>
                  <w:r>
                    <w:rPr>
                      <w:color w:val="auto"/>
                    </w:rPr>
                    <w:t>处置量（t/a）</w:t>
                  </w:r>
                </w:p>
              </w:tc>
              <w:tc>
                <w:tcPr>
                  <w:tcW w:w="585" w:type="pct"/>
                  <w:vMerge w:val="continue"/>
                  <w:shd w:val="clear" w:color="auto" w:fill="auto"/>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shd w:val="clear" w:color="auto" w:fill="auto"/>
                  <w:vAlign w:val="center"/>
                </w:tcPr>
                <w:p>
                  <w:pPr>
                    <w:pStyle w:val="98"/>
                    <w:rPr>
                      <w:color w:val="auto"/>
                    </w:rPr>
                  </w:pPr>
                  <w:r>
                    <w:rPr>
                      <w:rFonts w:hint="eastAsia"/>
                      <w:color w:val="auto"/>
                    </w:rPr>
                    <w:t>办公生活</w:t>
                  </w:r>
                </w:p>
              </w:tc>
              <w:tc>
                <w:tcPr>
                  <w:tcW w:w="1132" w:type="pct"/>
                  <w:shd w:val="clear" w:color="auto" w:fill="auto"/>
                  <w:vAlign w:val="center"/>
                </w:tcPr>
                <w:p>
                  <w:pPr>
                    <w:pStyle w:val="98"/>
                    <w:rPr>
                      <w:color w:val="auto"/>
                    </w:rPr>
                  </w:pPr>
                  <w:r>
                    <w:rPr>
                      <w:color w:val="auto"/>
                    </w:rPr>
                    <w:t>生活垃圾</w:t>
                  </w:r>
                </w:p>
              </w:tc>
              <w:tc>
                <w:tcPr>
                  <w:tcW w:w="443" w:type="pct"/>
                  <w:vMerge w:val="restart"/>
                  <w:shd w:val="clear" w:color="auto" w:fill="auto"/>
                  <w:vAlign w:val="center"/>
                </w:tcPr>
                <w:p>
                  <w:pPr>
                    <w:pStyle w:val="98"/>
                    <w:rPr>
                      <w:color w:val="auto"/>
                    </w:rPr>
                  </w:pPr>
                  <w:r>
                    <w:rPr>
                      <w:color w:val="auto"/>
                    </w:rPr>
                    <w:t>一般固废</w:t>
                  </w:r>
                </w:p>
              </w:tc>
              <w:tc>
                <w:tcPr>
                  <w:tcW w:w="567" w:type="pct"/>
                  <w:shd w:val="clear" w:color="auto" w:fill="auto"/>
                  <w:vAlign w:val="center"/>
                </w:tcPr>
                <w:p>
                  <w:pPr>
                    <w:pStyle w:val="98"/>
                    <w:rPr>
                      <w:color w:val="auto"/>
                    </w:rPr>
                  </w:pPr>
                  <w:r>
                    <w:rPr>
                      <w:color w:val="auto"/>
                    </w:rPr>
                    <w:t>产污系数法</w:t>
                  </w:r>
                </w:p>
              </w:tc>
              <w:tc>
                <w:tcPr>
                  <w:tcW w:w="558" w:type="pct"/>
                  <w:shd w:val="clear" w:color="auto" w:fill="auto"/>
                  <w:vAlign w:val="center"/>
                </w:tcPr>
                <w:p>
                  <w:pPr>
                    <w:pStyle w:val="98"/>
                    <w:rPr>
                      <w:rFonts w:hint="default" w:eastAsia="宋体"/>
                      <w:color w:val="auto"/>
                      <w:lang w:val="en-US" w:eastAsia="zh-CN"/>
                    </w:rPr>
                  </w:pPr>
                  <w:r>
                    <w:rPr>
                      <w:rFonts w:hint="eastAsia"/>
                      <w:color w:val="auto"/>
                      <w:lang w:val="en-US" w:eastAsia="zh-CN"/>
                    </w:rPr>
                    <w:t>2.28</w:t>
                  </w:r>
                </w:p>
              </w:tc>
              <w:tc>
                <w:tcPr>
                  <w:tcW w:w="637" w:type="pct"/>
                  <w:shd w:val="clear" w:color="auto" w:fill="auto"/>
                  <w:vAlign w:val="center"/>
                </w:tcPr>
                <w:p>
                  <w:pPr>
                    <w:pStyle w:val="98"/>
                    <w:rPr>
                      <w:color w:val="auto"/>
                    </w:rPr>
                  </w:pPr>
                  <w:r>
                    <w:rPr>
                      <w:color w:val="auto"/>
                    </w:rPr>
                    <w:t>垃圾桶</w:t>
                  </w:r>
                  <w:r>
                    <w:rPr>
                      <w:rFonts w:hint="eastAsia"/>
                      <w:color w:val="auto"/>
                    </w:rPr>
                    <w:t>分类收集</w:t>
                  </w:r>
                </w:p>
              </w:tc>
              <w:tc>
                <w:tcPr>
                  <w:tcW w:w="540" w:type="pct"/>
                  <w:shd w:val="clear" w:color="auto" w:fill="auto"/>
                  <w:vAlign w:val="center"/>
                </w:tcPr>
                <w:p>
                  <w:pPr>
                    <w:pStyle w:val="98"/>
                    <w:rPr>
                      <w:rFonts w:hint="default"/>
                      <w:color w:val="auto"/>
                      <w:lang w:val="en-US"/>
                    </w:rPr>
                  </w:pPr>
                  <w:r>
                    <w:rPr>
                      <w:rFonts w:hint="eastAsia"/>
                      <w:color w:val="auto"/>
                      <w:lang w:val="en-US" w:eastAsia="zh-CN"/>
                    </w:rPr>
                    <w:t>2.28</w:t>
                  </w:r>
                </w:p>
              </w:tc>
              <w:tc>
                <w:tcPr>
                  <w:tcW w:w="585" w:type="pct"/>
                  <w:shd w:val="clear" w:color="auto" w:fill="auto"/>
                  <w:vAlign w:val="center"/>
                </w:tcPr>
                <w:p>
                  <w:pPr>
                    <w:pStyle w:val="98"/>
                    <w:rPr>
                      <w:color w:val="auto"/>
                    </w:rPr>
                  </w:pPr>
                  <w:r>
                    <w:rPr>
                      <w:rFonts w:hint="eastAsia"/>
                      <w:color w:val="auto"/>
                    </w:rPr>
                    <w:t>集中处置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34" w:type="pct"/>
                  <w:vMerge w:val="restart"/>
                  <w:shd w:val="clear" w:color="auto" w:fill="auto"/>
                  <w:vAlign w:val="center"/>
                </w:tcPr>
                <w:p>
                  <w:pPr>
                    <w:pStyle w:val="98"/>
                    <w:rPr>
                      <w:rFonts w:hint="default" w:eastAsia="宋体"/>
                      <w:color w:val="auto"/>
                      <w:lang w:val="en-US" w:eastAsia="zh-CN"/>
                    </w:rPr>
                  </w:pPr>
                  <w:r>
                    <w:rPr>
                      <w:rFonts w:hint="eastAsia"/>
                      <w:color w:val="auto"/>
                      <w:lang w:val="en-US" w:eastAsia="zh-CN"/>
                    </w:rPr>
                    <w:t>生产线</w:t>
                  </w:r>
                </w:p>
              </w:tc>
              <w:tc>
                <w:tcPr>
                  <w:tcW w:w="1132" w:type="pct"/>
                  <w:shd w:val="clear" w:color="auto" w:fill="auto"/>
                  <w:vAlign w:val="center"/>
                </w:tcPr>
                <w:p>
                  <w:pPr>
                    <w:pStyle w:val="98"/>
                    <w:rPr>
                      <w:rFonts w:hint="default" w:eastAsia="宋体"/>
                      <w:color w:val="auto"/>
                      <w:lang w:val="en-US" w:eastAsia="zh-CN"/>
                    </w:rPr>
                  </w:pPr>
                  <w:r>
                    <w:rPr>
                      <w:rFonts w:hint="eastAsia"/>
                      <w:color w:val="auto"/>
                      <w:lang w:val="en-US" w:eastAsia="zh-CN"/>
                    </w:rPr>
                    <w:t>废塑料膜、废编带</w:t>
                  </w:r>
                </w:p>
              </w:tc>
              <w:tc>
                <w:tcPr>
                  <w:tcW w:w="443" w:type="pct"/>
                  <w:vMerge w:val="continue"/>
                  <w:shd w:val="clear" w:color="auto" w:fill="auto"/>
                  <w:vAlign w:val="center"/>
                </w:tcPr>
                <w:p>
                  <w:pPr>
                    <w:pStyle w:val="98"/>
                    <w:rPr>
                      <w:color w:val="auto"/>
                    </w:rPr>
                  </w:pPr>
                </w:p>
              </w:tc>
              <w:tc>
                <w:tcPr>
                  <w:tcW w:w="567" w:type="pct"/>
                  <w:vMerge w:val="restart"/>
                  <w:shd w:val="clear" w:color="auto" w:fill="auto"/>
                  <w:vAlign w:val="center"/>
                </w:tcPr>
                <w:p>
                  <w:pPr>
                    <w:pStyle w:val="98"/>
                    <w:rPr>
                      <w:color w:val="auto"/>
                    </w:rPr>
                  </w:pPr>
                  <w:r>
                    <w:rPr>
                      <w:color w:val="auto"/>
                    </w:rPr>
                    <w:t>物料衡算法</w:t>
                  </w:r>
                </w:p>
              </w:tc>
              <w:tc>
                <w:tcPr>
                  <w:tcW w:w="940" w:type="dxa"/>
                  <w:shd w:val="clear" w:color="auto" w:fill="auto"/>
                  <w:vAlign w:val="center"/>
                </w:tcPr>
                <w:p>
                  <w:pPr>
                    <w:pStyle w:val="98"/>
                    <w:rPr>
                      <w:rFonts w:hint="default" w:eastAsia="宋体"/>
                      <w:color w:val="auto"/>
                      <w:lang w:val="en-US" w:eastAsia="zh-CN"/>
                    </w:rPr>
                  </w:pPr>
                  <w:r>
                    <w:rPr>
                      <w:rFonts w:hint="eastAsia"/>
                      <w:color w:val="auto"/>
                      <w:lang w:val="en-US" w:eastAsia="zh-CN"/>
                    </w:rPr>
                    <w:t>1.0</w:t>
                  </w:r>
                </w:p>
              </w:tc>
              <w:tc>
                <w:tcPr>
                  <w:tcW w:w="637" w:type="pct"/>
                  <w:vMerge w:val="restart"/>
                  <w:shd w:val="clear" w:color="auto" w:fill="auto"/>
                  <w:vAlign w:val="center"/>
                </w:tcPr>
                <w:p>
                  <w:pPr>
                    <w:pStyle w:val="98"/>
                    <w:rPr>
                      <w:color w:val="auto"/>
                    </w:rPr>
                  </w:pPr>
                  <w:r>
                    <w:rPr>
                      <w:rFonts w:hint="eastAsia"/>
                      <w:color w:val="auto"/>
                    </w:rPr>
                    <w:t>集中收集后外售</w:t>
                  </w:r>
                </w:p>
              </w:tc>
              <w:tc>
                <w:tcPr>
                  <w:tcW w:w="540" w:type="pct"/>
                  <w:shd w:val="clear" w:color="auto" w:fill="auto"/>
                  <w:vAlign w:val="center"/>
                </w:tcPr>
                <w:p>
                  <w:pPr>
                    <w:pStyle w:val="98"/>
                    <w:rPr>
                      <w:rFonts w:hint="default"/>
                      <w:color w:val="auto"/>
                      <w:lang w:val="en-US"/>
                    </w:rPr>
                  </w:pPr>
                  <w:r>
                    <w:rPr>
                      <w:rFonts w:hint="eastAsia"/>
                      <w:color w:val="auto"/>
                      <w:lang w:val="en-US" w:eastAsia="zh-CN"/>
                    </w:rPr>
                    <w:t>1.0</w:t>
                  </w:r>
                </w:p>
              </w:tc>
              <w:tc>
                <w:tcPr>
                  <w:tcW w:w="585" w:type="pct"/>
                  <w:vMerge w:val="restart"/>
                  <w:shd w:val="clear" w:color="auto" w:fill="auto"/>
                  <w:vAlign w:val="center"/>
                </w:tcPr>
                <w:p>
                  <w:pPr>
                    <w:pStyle w:val="98"/>
                    <w:rPr>
                      <w:color w:val="auto"/>
                    </w:rPr>
                  </w:pPr>
                  <w:r>
                    <w:rPr>
                      <w:rFonts w:hint="eastAsia"/>
                      <w:color w:val="auto"/>
                    </w:rPr>
                    <w:t>综合利用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34" w:type="pct"/>
                  <w:vMerge w:val="continue"/>
                  <w:shd w:val="clear" w:color="auto" w:fill="auto"/>
                  <w:vAlign w:val="center"/>
                </w:tcPr>
                <w:p>
                  <w:pPr>
                    <w:pStyle w:val="98"/>
                    <w:rPr>
                      <w:rFonts w:hint="eastAsia"/>
                      <w:color w:val="auto"/>
                      <w:lang w:val="en-US" w:eastAsia="zh-CN"/>
                    </w:rPr>
                  </w:pPr>
                </w:p>
              </w:tc>
              <w:tc>
                <w:tcPr>
                  <w:tcW w:w="1132" w:type="pct"/>
                  <w:shd w:val="clear" w:color="auto" w:fill="auto"/>
                  <w:vAlign w:val="center"/>
                </w:tcPr>
                <w:p>
                  <w:pPr>
                    <w:pStyle w:val="98"/>
                    <w:rPr>
                      <w:rFonts w:hint="default"/>
                      <w:color w:val="auto"/>
                      <w:lang w:val="en-US" w:eastAsia="zh-CN"/>
                    </w:rPr>
                  </w:pPr>
                  <w:r>
                    <w:rPr>
                      <w:rFonts w:hint="eastAsia"/>
                      <w:color w:val="auto"/>
                      <w:lang w:val="en-US" w:eastAsia="zh-CN"/>
                    </w:rPr>
                    <w:t>残次品</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rFonts w:hint="eastAsia"/>
                      <w:color w:val="auto"/>
                    </w:rPr>
                  </w:pPr>
                </w:p>
              </w:tc>
              <w:tc>
                <w:tcPr>
                  <w:tcW w:w="940" w:type="dxa"/>
                  <w:shd w:val="clear" w:color="auto" w:fill="auto"/>
                  <w:vAlign w:val="center"/>
                </w:tcPr>
                <w:p>
                  <w:pPr>
                    <w:pStyle w:val="98"/>
                    <w:rPr>
                      <w:rFonts w:hint="default"/>
                      <w:color w:val="auto"/>
                      <w:lang w:val="en-US" w:eastAsia="zh-CN"/>
                    </w:rPr>
                  </w:pPr>
                  <w:r>
                    <w:rPr>
                      <w:rFonts w:hint="eastAsia"/>
                      <w:color w:val="auto"/>
                      <w:lang w:val="en-US" w:eastAsia="zh-CN"/>
                    </w:rPr>
                    <w:t>3.0</w:t>
                  </w:r>
                </w:p>
              </w:tc>
              <w:tc>
                <w:tcPr>
                  <w:tcW w:w="637" w:type="pct"/>
                  <w:vMerge w:val="continue"/>
                  <w:shd w:val="clear" w:color="auto" w:fill="auto"/>
                  <w:vAlign w:val="center"/>
                </w:tcPr>
                <w:p>
                  <w:pPr>
                    <w:pStyle w:val="98"/>
                    <w:rPr>
                      <w:rFonts w:hint="eastAsia"/>
                      <w:color w:val="auto"/>
                    </w:rPr>
                  </w:pPr>
                </w:p>
              </w:tc>
              <w:tc>
                <w:tcPr>
                  <w:tcW w:w="540" w:type="pct"/>
                  <w:shd w:val="clear" w:color="auto" w:fill="auto"/>
                  <w:vAlign w:val="center"/>
                </w:tcPr>
                <w:p>
                  <w:pPr>
                    <w:pStyle w:val="98"/>
                    <w:rPr>
                      <w:rFonts w:hint="eastAsia"/>
                      <w:color w:val="auto"/>
                      <w:lang w:val="en-US" w:eastAsia="zh-CN"/>
                    </w:rPr>
                  </w:pPr>
                  <w:r>
                    <w:rPr>
                      <w:rFonts w:hint="eastAsia"/>
                      <w:color w:val="auto"/>
                      <w:lang w:val="en-US" w:eastAsia="zh-CN"/>
                    </w:rPr>
                    <w:t>3.0</w:t>
                  </w:r>
                </w:p>
              </w:tc>
              <w:tc>
                <w:tcPr>
                  <w:tcW w:w="585" w:type="pct"/>
                  <w:vMerge w:val="continue"/>
                  <w:shd w:val="clear" w:color="auto" w:fill="auto"/>
                  <w:vAlign w:val="center"/>
                </w:tcPr>
                <w:p>
                  <w:pPr>
                    <w:pStyle w:val="98"/>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34" w:type="pct"/>
                  <w:shd w:val="clear" w:color="auto" w:fill="auto"/>
                  <w:vAlign w:val="center"/>
                </w:tcPr>
                <w:p>
                  <w:pPr>
                    <w:pStyle w:val="98"/>
                    <w:rPr>
                      <w:rFonts w:hint="default"/>
                      <w:color w:val="auto"/>
                      <w:lang w:val="en-US" w:eastAsia="zh-CN"/>
                    </w:rPr>
                  </w:pPr>
                  <w:r>
                    <w:rPr>
                      <w:rFonts w:hint="eastAsia"/>
                      <w:color w:val="auto"/>
                      <w:lang w:val="en-US" w:eastAsia="zh-CN"/>
                    </w:rPr>
                    <w:t>检验检测</w:t>
                  </w:r>
                </w:p>
              </w:tc>
              <w:tc>
                <w:tcPr>
                  <w:tcW w:w="1132" w:type="pct"/>
                  <w:shd w:val="clear" w:color="auto" w:fill="auto"/>
                  <w:vAlign w:val="center"/>
                </w:tcPr>
                <w:p>
                  <w:pPr>
                    <w:pStyle w:val="98"/>
                    <w:rPr>
                      <w:rFonts w:hint="default"/>
                      <w:color w:val="auto"/>
                      <w:lang w:val="en-US" w:eastAsia="zh-CN"/>
                    </w:rPr>
                  </w:pPr>
                  <w:r>
                    <w:rPr>
                      <w:rFonts w:hint="eastAsia"/>
                      <w:color w:val="auto"/>
                      <w:lang w:val="en-US" w:eastAsia="zh-CN"/>
                    </w:rPr>
                    <w:t>不合格产品</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rFonts w:hint="eastAsia"/>
                      <w:color w:val="auto"/>
                    </w:rPr>
                  </w:pPr>
                </w:p>
              </w:tc>
              <w:tc>
                <w:tcPr>
                  <w:tcW w:w="940" w:type="dxa"/>
                  <w:shd w:val="clear" w:color="auto" w:fill="auto"/>
                  <w:vAlign w:val="center"/>
                </w:tcPr>
                <w:p>
                  <w:pPr>
                    <w:pStyle w:val="98"/>
                    <w:rPr>
                      <w:rFonts w:hint="default"/>
                      <w:color w:val="auto"/>
                      <w:lang w:val="en-US" w:eastAsia="zh-CN"/>
                    </w:rPr>
                  </w:pPr>
                  <w:r>
                    <w:rPr>
                      <w:rFonts w:hint="eastAsia"/>
                      <w:color w:val="auto"/>
                      <w:lang w:val="en-US" w:eastAsia="zh-CN"/>
                    </w:rPr>
                    <w:t>2.0</w:t>
                  </w:r>
                </w:p>
              </w:tc>
              <w:tc>
                <w:tcPr>
                  <w:tcW w:w="637" w:type="pct"/>
                  <w:vMerge w:val="continue"/>
                  <w:shd w:val="clear" w:color="auto" w:fill="auto"/>
                  <w:vAlign w:val="center"/>
                </w:tcPr>
                <w:p>
                  <w:pPr>
                    <w:pStyle w:val="98"/>
                    <w:rPr>
                      <w:rFonts w:hint="eastAsia"/>
                      <w:color w:val="auto"/>
                    </w:rPr>
                  </w:pPr>
                </w:p>
              </w:tc>
              <w:tc>
                <w:tcPr>
                  <w:tcW w:w="540" w:type="pct"/>
                  <w:shd w:val="clear" w:color="auto" w:fill="auto"/>
                  <w:vAlign w:val="center"/>
                </w:tcPr>
                <w:p>
                  <w:pPr>
                    <w:pStyle w:val="98"/>
                    <w:rPr>
                      <w:rFonts w:hint="eastAsia"/>
                      <w:color w:val="auto"/>
                      <w:lang w:val="en-US" w:eastAsia="zh-CN"/>
                    </w:rPr>
                  </w:pPr>
                  <w:r>
                    <w:rPr>
                      <w:rFonts w:hint="eastAsia"/>
                      <w:color w:val="auto"/>
                      <w:lang w:val="en-US" w:eastAsia="zh-CN"/>
                    </w:rPr>
                    <w:t>2.0</w:t>
                  </w:r>
                </w:p>
              </w:tc>
              <w:tc>
                <w:tcPr>
                  <w:tcW w:w="585" w:type="pct"/>
                  <w:vMerge w:val="continue"/>
                  <w:shd w:val="clear" w:color="auto" w:fill="auto"/>
                  <w:vAlign w:val="center"/>
                </w:tcPr>
                <w:p>
                  <w:pPr>
                    <w:pStyle w:val="98"/>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shd w:val="clear" w:color="auto" w:fill="auto"/>
                  <w:vAlign w:val="center"/>
                </w:tcPr>
                <w:p>
                  <w:pPr>
                    <w:pStyle w:val="98"/>
                    <w:rPr>
                      <w:rFonts w:hint="eastAsia"/>
                      <w:color w:val="auto"/>
                    </w:rPr>
                  </w:pPr>
                  <w:r>
                    <w:rPr>
                      <w:rFonts w:hint="eastAsia"/>
                      <w:color w:val="auto"/>
                    </w:rPr>
                    <w:t>废气处理设备</w:t>
                  </w:r>
                </w:p>
              </w:tc>
              <w:tc>
                <w:tcPr>
                  <w:tcW w:w="1132" w:type="pct"/>
                  <w:shd w:val="clear" w:color="auto" w:fill="auto"/>
                  <w:vAlign w:val="center"/>
                </w:tcPr>
                <w:p>
                  <w:pPr>
                    <w:pStyle w:val="98"/>
                    <w:rPr>
                      <w:rFonts w:hint="eastAsia"/>
                      <w:color w:val="auto"/>
                    </w:rPr>
                  </w:pPr>
                  <w:r>
                    <w:rPr>
                      <w:rFonts w:hint="eastAsia"/>
                      <w:color w:val="auto"/>
                      <w:lang w:val="en-US" w:eastAsia="zh-CN"/>
                    </w:rPr>
                    <w:t>废过滤棉</w:t>
                  </w:r>
                </w:p>
              </w:tc>
              <w:tc>
                <w:tcPr>
                  <w:tcW w:w="443" w:type="pct"/>
                  <w:vMerge w:val="restart"/>
                  <w:shd w:val="clear" w:color="auto" w:fill="auto"/>
                  <w:vAlign w:val="center"/>
                </w:tcPr>
                <w:p>
                  <w:pPr>
                    <w:pStyle w:val="98"/>
                    <w:rPr>
                      <w:color w:val="auto"/>
                    </w:rPr>
                  </w:pPr>
                  <w:r>
                    <w:rPr>
                      <w:rFonts w:hint="eastAsia"/>
                      <w:color w:val="auto"/>
                    </w:rPr>
                    <w:t>危险废物</w:t>
                  </w:r>
                </w:p>
              </w:tc>
              <w:tc>
                <w:tcPr>
                  <w:tcW w:w="567" w:type="pct"/>
                  <w:vMerge w:val="continue"/>
                  <w:shd w:val="clear" w:color="auto" w:fill="auto"/>
                  <w:vAlign w:val="center"/>
                </w:tcPr>
                <w:p>
                  <w:pPr>
                    <w:pStyle w:val="98"/>
                    <w:rPr>
                      <w:color w:val="auto"/>
                    </w:rPr>
                  </w:pPr>
                </w:p>
              </w:tc>
              <w:tc>
                <w:tcPr>
                  <w:tcW w:w="940" w:type="dxa"/>
                  <w:shd w:val="clear" w:color="auto" w:fill="auto"/>
                  <w:vAlign w:val="center"/>
                </w:tcPr>
                <w:p>
                  <w:pPr>
                    <w:pStyle w:val="98"/>
                    <w:rPr>
                      <w:rFonts w:hint="default"/>
                      <w:color w:val="auto"/>
                      <w:lang w:val="en-US" w:eastAsia="zh-CN"/>
                    </w:rPr>
                  </w:pPr>
                  <w:r>
                    <w:rPr>
                      <w:rFonts w:hint="eastAsia"/>
                      <w:color w:val="auto"/>
                      <w:lang w:val="en-US" w:eastAsia="zh-CN"/>
                    </w:rPr>
                    <w:t>30.15kg/a</w:t>
                  </w:r>
                </w:p>
              </w:tc>
              <w:tc>
                <w:tcPr>
                  <w:tcW w:w="637" w:type="pct"/>
                  <w:vMerge w:val="restart"/>
                  <w:shd w:val="clear" w:color="auto" w:fill="auto"/>
                  <w:vAlign w:val="center"/>
                </w:tcPr>
                <w:p>
                  <w:pPr>
                    <w:pStyle w:val="98"/>
                    <w:rPr>
                      <w:color w:val="auto"/>
                    </w:rPr>
                  </w:pPr>
                  <w:r>
                    <w:rPr>
                      <w:rFonts w:hint="eastAsia"/>
                      <w:color w:val="auto"/>
                    </w:rPr>
                    <w:t>分类暂存于</w:t>
                  </w:r>
                  <w:r>
                    <w:rPr>
                      <w:rFonts w:hint="eastAsia"/>
                      <w:color w:val="auto"/>
                      <w:lang w:eastAsia="zh-CN"/>
                    </w:rPr>
                    <w:t>危废贮存库</w:t>
                  </w:r>
                  <w:r>
                    <w:rPr>
                      <w:rFonts w:hint="eastAsia"/>
                      <w:color w:val="auto"/>
                    </w:rPr>
                    <w:t>内并设置托盘，定期交有资质单位处置</w:t>
                  </w:r>
                </w:p>
              </w:tc>
              <w:tc>
                <w:tcPr>
                  <w:tcW w:w="915" w:type="dxa"/>
                  <w:shd w:val="clear" w:color="auto" w:fill="auto"/>
                  <w:vAlign w:val="center"/>
                </w:tcPr>
                <w:p>
                  <w:pPr>
                    <w:pStyle w:val="98"/>
                    <w:rPr>
                      <w:rFonts w:hint="eastAsia"/>
                      <w:color w:val="auto"/>
                      <w:lang w:val="en-US" w:eastAsia="zh-CN"/>
                    </w:rPr>
                  </w:pPr>
                  <w:r>
                    <w:rPr>
                      <w:rFonts w:hint="eastAsia"/>
                      <w:color w:val="auto"/>
                      <w:lang w:val="en-US" w:eastAsia="zh-CN"/>
                    </w:rPr>
                    <w:t>30.15kg/a</w:t>
                  </w:r>
                </w:p>
              </w:tc>
              <w:tc>
                <w:tcPr>
                  <w:tcW w:w="585" w:type="pct"/>
                  <w:vMerge w:val="restart"/>
                  <w:shd w:val="clear" w:color="auto" w:fill="auto"/>
                  <w:vAlign w:val="center"/>
                </w:tcPr>
                <w:p>
                  <w:pPr>
                    <w:pStyle w:val="98"/>
                    <w:rPr>
                      <w:rFonts w:hint="eastAsia"/>
                      <w:color w:val="auto"/>
                    </w:rPr>
                  </w:pPr>
                  <w:r>
                    <w:rPr>
                      <w:rFonts w:hint="eastAsia"/>
                      <w:color w:val="auto"/>
                    </w:rPr>
                    <w:t>危废处置单位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shd w:val="clear" w:color="auto" w:fill="auto"/>
                  <w:vAlign w:val="center"/>
                </w:tcPr>
                <w:p>
                  <w:pPr>
                    <w:pStyle w:val="98"/>
                    <w:rPr>
                      <w:rFonts w:hint="eastAsia"/>
                      <w:color w:val="auto"/>
                    </w:rPr>
                  </w:pPr>
                  <w:r>
                    <w:rPr>
                      <w:rFonts w:hint="eastAsia"/>
                      <w:color w:val="auto"/>
                    </w:rPr>
                    <w:t>废气处理设备</w:t>
                  </w:r>
                </w:p>
              </w:tc>
              <w:tc>
                <w:tcPr>
                  <w:tcW w:w="1132" w:type="pct"/>
                  <w:shd w:val="clear" w:color="auto" w:fill="auto"/>
                  <w:vAlign w:val="center"/>
                </w:tcPr>
                <w:p>
                  <w:pPr>
                    <w:pStyle w:val="98"/>
                    <w:rPr>
                      <w:rFonts w:hint="eastAsia"/>
                      <w:color w:val="auto"/>
                    </w:rPr>
                  </w:pPr>
                  <w:r>
                    <w:rPr>
                      <w:rFonts w:hint="eastAsia"/>
                      <w:color w:val="auto"/>
                    </w:rPr>
                    <w:t>废活性炭</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color w:val="auto"/>
                    </w:rPr>
                  </w:pPr>
                </w:p>
              </w:tc>
              <w:tc>
                <w:tcPr>
                  <w:tcW w:w="940" w:type="dxa"/>
                  <w:shd w:val="clear" w:color="auto" w:fill="auto"/>
                  <w:vAlign w:val="center"/>
                </w:tcPr>
                <w:p>
                  <w:pPr>
                    <w:pStyle w:val="98"/>
                    <w:rPr>
                      <w:rFonts w:hint="default"/>
                      <w:color w:val="auto"/>
                      <w:lang w:val="en-US" w:eastAsia="zh-CN"/>
                    </w:rPr>
                  </w:pPr>
                  <w:r>
                    <w:rPr>
                      <w:rFonts w:hint="eastAsia"/>
                      <w:color w:val="auto"/>
                      <w:lang w:val="en-US" w:eastAsia="zh-CN"/>
                    </w:rPr>
                    <w:t>73.3kg/a</w:t>
                  </w:r>
                </w:p>
              </w:tc>
              <w:tc>
                <w:tcPr>
                  <w:tcW w:w="637" w:type="pct"/>
                  <w:vMerge w:val="continue"/>
                  <w:shd w:val="clear" w:color="auto" w:fill="auto"/>
                  <w:vAlign w:val="center"/>
                </w:tcPr>
                <w:p>
                  <w:pPr>
                    <w:pStyle w:val="98"/>
                    <w:rPr>
                      <w:color w:val="auto"/>
                    </w:rPr>
                  </w:pPr>
                </w:p>
              </w:tc>
              <w:tc>
                <w:tcPr>
                  <w:tcW w:w="915" w:type="dxa"/>
                  <w:shd w:val="clear" w:color="auto" w:fill="auto"/>
                  <w:vAlign w:val="center"/>
                </w:tcPr>
                <w:p>
                  <w:pPr>
                    <w:pStyle w:val="98"/>
                    <w:rPr>
                      <w:rFonts w:hint="default"/>
                      <w:color w:val="auto"/>
                      <w:lang w:val="en-US" w:eastAsia="zh-CN"/>
                    </w:rPr>
                  </w:pPr>
                  <w:r>
                    <w:rPr>
                      <w:rFonts w:hint="eastAsia"/>
                      <w:color w:val="auto"/>
                      <w:lang w:val="en-US" w:eastAsia="zh-CN"/>
                    </w:rPr>
                    <w:t>73.3kg/a</w:t>
                  </w:r>
                </w:p>
              </w:tc>
              <w:tc>
                <w:tcPr>
                  <w:tcW w:w="585" w:type="pct"/>
                  <w:vMerge w:val="continue"/>
                  <w:shd w:val="clear" w:color="auto" w:fill="auto"/>
                  <w:vAlign w:val="center"/>
                </w:tcPr>
                <w:p>
                  <w:pPr>
                    <w:pStyle w:val="98"/>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restart"/>
                  <w:shd w:val="clear" w:color="auto" w:fill="auto"/>
                  <w:vAlign w:val="center"/>
                </w:tcPr>
                <w:p>
                  <w:pPr>
                    <w:pStyle w:val="98"/>
                    <w:rPr>
                      <w:color w:val="auto"/>
                    </w:rPr>
                  </w:pPr>
                  <w:r>
                    <w:rPr>
                      <w:rFonts w:hint="eastAsia"/>
                      <w:color w:val="auto"/>
                    </w:rPr>
                    <w:t>设备维修保养</w:t>
                  </w:r>
                </w:p>
              </w:tc>
              <w:tc>
                <w:tcPr>
                  <w:tcW w:w="1132" w:type="pct"/>
                  <w:shd w:val="clear" w:color="auto" w:fill="auto"/>
                  <w:vAlign w:val="center"/>
                </w:tcPr>
                <w:p>
                  <w:pPr>
                    <w:pStyle w:val="98"/>
                    <w:rPr>
                      <w:color w:val="auto"/>
                    </w:rPr>
                  </w:pPr>
                  <w:r>
                    <w:rPr>
                      <w:rFonts w:hint="eastAsia"/>
                      <w:color w:val="auto"/>
                    </w:rPr>
                    <w:t>废润滑油</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color w:val="auto"/>
                    </w:rPr>
                  </w:pPr>
                </w:p>
              </w:tc>
              <w:tc>
                <w:tcPr>
                  <w:tcW w:w="940" w:type="dxa"/>
                  <w:shd w:val="clear" w:color="auto" w:fill="auto"/>
                  <w:vAlign w:val="center"/>
                </w:tcPr>
                <w:p>
                  <w:pPr>
                    <w:pStyle w:val="98"/>
                    <w:rPr>
                      <w:rFonts w:hint="default" w:eastAsia="宋体"/>
                      <w:color w:val="auto"/>
                      <w:lang w:val="en-US" w:eastAsia="zh-CN"/>
                    </w:rPr>
                  </w:pPr>
                  <w:r>
                    <w:rPr>
                      <w:rFonts w:hint="eastAsia"/>
                      <w:color w:val="auto"/>
                      <w:lang w:val="en-US" w:eastAsia="zh-CN"/>
                    </w:rPr>
                    <w:t>0.9</w:t>
                  </w:r>
                </w:p>
              </w:tc>
              <w:tc>
                <w:tcPr>
                  <w:tcW w:w="637" w:type="pct"/>
                  <w:vMerge w:val="continue"/>
                  <w:shd w:val="clear" w:color="auto" w:fill="auto"/>
                  <w:vAlign w:val="center"/>
                </w:tcPr>
                <w:p>
                  <w:pPr>
                    <w:pStyle w:val="98"/>
                    <w:rPr>
                      <w:color w:val="auto"/>
                    </w:rPr>
                  </w:pPr>
                </w:p>
              </w:tc>
              <w:tc>
                <w:tcPr>
                  <w:tcW w:w="915" w:type="dxa"/>
                  <w:shd w:val="clear" w:color="auto" w:fill="auto"/>
                  <w:vAlign w:val="center"/>
                </w:tcPr>
                <w:p>
                  <w:pPr>
                    <w:pStyle w:val="98"/>
                    <w:rPr>
                      <w:color w:val="auto"/>
                    </w:rPr>
                  </w:pPr>
                  <w:r>
                    <w:rPr>
                      <w:rFonts w:hint="eastAsia"/>
                      <w:color w:val="auto"/>
                      <w:lang w:val="en-US" w:eastAsia="zh-CN"/>
                    </w:rPr>
                    <w:t>0.9</w:t>
                  </w:r>
                </w:p>
              </w:tc>
              <w:tc>
                <w:tcPr>
                  <w:tcW w:w="585" w:type="pct"/>
                  <w:vMerge w:val="continue"/>
                  <w:shd w:val="clear" w:color="auto" w:fill="auto"/>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continue"/>
                  <w:shd w:val="clear" w:color="auto" w:fill="auto"/>
                  <w:vAlign w:val="center"/>
                </w:tcPr>
                <w:p>
                  <w:pPr>
                    <w:pStyle w:val="98"/>
                    <w:rPr>
                      <w:color w:val="auto"/>
                    </w:rPr>
                  </w:pPr>
                </w:p>
              </w:tc>
              <w:tc>
                <w:tcPr>
                  <w:tcW w:w="1132" w:type="pct"/>
                  <w:shd w:val="clear" w:color="auto" w:fill="auto"/>
                  <w:vAlign w:val="center"/>
                </w:tcPr>
                <w:p>
                  <w:pPr>
                    <w:pStyle w:val="98"/>
                    <w:rPr>
                      <w:color w:val="auto"/>
                    </w:rPr>
                  </w:pPr>
                  <w:r>
                    <w:rPr>
                      <w:rFonts w:hint="eastAsia"/>
                      <w:color w:val="auto"/>
                    </w:rPr>
                    <w:t>废油桶</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color w:val="auto"/>
                    </w:rPr>
                  </w:pPr>
                </w:p>
              </w:tc>
              <w:tc>
                <w:tcPr>
                  <w:tcW w:w="940" w:type="dxa"/>
                  <w:shd w:val="clear" w:color="auto" w:fill="auto"/>
                  <w:vAlign w:val="center"/>
                </w:tcPr>
                <w:p>
                  <w:pPr>
                    <w:pStyle w:val="98"/>
                    <w:rPr>
                      <w:rFonts w:hint="default" w:eastAsia="宋体"/>
                      <w:color w:val="auto"/>
                      <w:lang w:val="en-US" w:eastAsia="zh-CN"/>
                    </w:rPr>
                  </w:pPr>
                  <w:r>
                    <w:rPr>
                      <w:rFonts w:hint="eastAsia"/>
                      <w:color w:val="auto"/>
                      <w:lang w:val="en-US" w:eastAsia="zh-CN"/>
                    </w:rPr>
                    <w:t>0.05</w:t>
                  </w:r>
                </w:p>
              </w:tc>
              <w:tc>
                <w:tcPr>
                  <w:tcW w:w="637" w:type="pct"/>
                  <w:vMerge w:val="continue"/>
                  <w:shd w:val="clear" w:color="auto" w:fill="auto"/>
                  <w:vAlign w:val="center"/>
                </w:tcPr>
                <w:p>
                  <w:pPr>
                    <w:pStyle w:val="98"/>
                    <w:rPr>
                      <w:color w:val="auto"/>
                    </w:rPr>
                  </w:pPr>
                </w:p>
              </w:tc>
              <w:tc>
                <w:tcPr>
                  <w:tcW w:w="915" w:type="dxa"/>
                  <w:shd w:val="clear" w:color="auto" w:fill="auto"/>
                  <w:vAlign w:val="center"/>
                </w:tcPr>
                <w:p>
                  <w:pPr>
                    <w:pStyle w:val="98"/>
                    <w:rPr>
                      <w:color w:val="auto"/>
                    </w:rPr>
                  </w:pPr>
                  <w:r>
                    <w:rPr>
                      <w:rFonts w:hint="eastAsia"/>
                      <w:color w:val="auto"/>
                      <w:lang w:val="en-US" w:eastAsia="zh-CN"/>
                    </w:rPr>
                    <w:t>0.05</w:t>
                  </w:r>
                </w:p>
              </w:tc>
              <w:tc>
                <w:tcPr>
                  <w:tcW w:w="585" w:type="pct"/>
                  <w:vMerge w:val="continue"/>
                  <w:shd w:val="clear" w:color="auto" w:fill="auto"/>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continue"/>
                  <w:shd w:val="clear" w:color="auto" w:fill="auto"/>
                  <w:vAlign w:val="center"/>
                </w:tcPr>
                <w:p>
                  <w:pPr>
                    <w:pStyle w:val="98"/>
                    <w:rPr>
                      <w:color w:val="auto"/>
                    </w:rPr>
                  </w:pPr>
                </w:p>
              </w:tc>
              <w:tc>
                <w:tcPr>
                  <w:tcW w:w="1132" w:type="pct"/>
                  <w:shd w:val="clear" w:color="auto" w:fill="auto"/>
                  <w:vAlign w:val="center"/>
                </w:tcPr>
                <w:p>
                  <w:pPr>
                    <w:pStyle w:val="98"/>
                    <w:rPr>
                      <w:color w:val="auto"/>
                    </w:rPr>
                  </w:pPr>
                  <w:r>
                    <w:rPr>
                      <w:rFonts w:hint="eastAsia"/>
                      <w:color w:val="auto"/>
                    </w:rPr>
                    <w:t>废含油抹布/手套</w:t>
                  </w:r>
                </w:p>
              </w:tc>
              <w:tc>
                <w:tcPr>
                  <w:tcW w:w="443" w:type="pct"/>
                  <w:vMerge w:val="continue"/>
                  <w:shd w:val="clear" w:color="auto" w:fill="auto"/>
                  <w:vAlign w:val="center"/>
                </w:tcPr>
                <w:p>
                  <w:pPr>
                    <w:pStyle w:val="98"/>
                    <w:rPr>
                      <w:color w:val="auto"/>
                    </w:rPr>
                  </w:pPr>
                </w:p>
              </w:tc>
              <w:tc>
                <w:tcPr>
                  <w:tcW w:w="567" w:type="pct"/>
                  <w:vMerge w:val="continue"/>
                  <w:shd w:val="clear" w:color="auto" w:fill="auto"/>
                  <w:vAlign w:val="center"/>
                </w:tcPr>
                <w:p>
                  <w:pPr>
                    <w:pStyle w:val="98"/>
                    <w:rPr>
                      <w:color w:val="auto"/>
                    </w:rPr>
                  </w:pPr>
                </w:p>
              </w:tc>
              <w:tc>
                <w:tcPr>
                  <w:tcW w:w="940" w:type="dxa"/>
                  <w:shd w:val="clear" w:color="auto" w:fill="auto"/>
                  <w:vAlign w:val="center"/>
                </w:tcPr>
                <w:p>
                  <w:pPr>
                    <w:pStyle w:val="98"/>
                    <w:rPr>
                      <w:rFonts w:hint="default" w:eastAsia="宋体"/>
                      <w:color w:val="auto"/>
                      <w:lang w:val="en-US" w:eastAsia="zh-CN"/>
                    </w:rPr>
                  </w:pPr>
                  <w:r>
                    <w:rPr>
                      <w:rFonts w:hint="eastAsia"/>
                      <w:color w:val="auto"/>
                      <w:lang w:val="en-US" w:eastAsia="zh-CN"/>
                    </w:rPr>
                    <w:t>0.05</w:t>
                  </w:r>
                </w:p>
              </w:tc>
              <w:tc>
                <w:tcPr>
                  <w:tcW w:w="637" w:type="pct"/>
                  <w:vMerge w:val="continue"/>
                  <w:shd w:val="clear" w:color="auto" w:fill="auto"/>
                  <w:vAlign w:val="center"/>
                </w:tcPr>
                <w:p>
                  <w:pPr>
                    <w:pStyle w:val="98"/>
                    <w:rPr>
                      <w:color w:val="auto"/>
                    </w:rPr>
                  </w:pPr>
                </w:p>
              </w:tc>
              <w:tc>
                <w:tcPr>
                  <w:tcW w:w="915" w:type="dxa"/>
                  <w:shd w:val="clear" w:color="auto" w:fill="auto"/>
                  <w:vAlign w:val="center"/>
                </w:tcPr>
                <w:p>
                  <w:pPr>
                    <w:pStyle w:val="98"/>
                    <w:rPr>
                      <w:color w:val="auto"/>
                    </w:rPr>
                  </w:pPr>
                  <w:r>
                    <w:rPr>
                      <w:rFonts w:hint="eastAsia"/>
                      <w:color w:val="auto"/>
                      <w:lang w:val="en-US" w:eastAsia="zh-CN"/>
                    </w:rPr>
                    <w:t>0.05</w:t>
                  </w:r>
                </w:p>
              </w:tc>
              <w:tc>
                <w:tcPr>
                  <w:tcW w:w="585" w:type="pct"/>
                  <w:vMerge w:val="continue"/>
                  <w:shd w:val="clear" w:color="auto" w:fill="auto"/>
                  <w:vAlign w:val="center"/>
                </w:tcPr>
                <w:p>
                  <w:pPr>
                    <w:pStyle w:val="98"/>
                    <w:rPr>
                      <w:color w:val="auto"/>
                    </w:rPr>
                  </w:pPr>
                </w:p>
              </w:tc>
            </w:tr>
          </w:tbl>
          <w:p>
            <w:pPr>
              <w:pStyle w:val="98"/>
              <w:rPr>
                <w:b/>
                <w:bCs/>
                <w:color w:val="auto"/>
              </w:rPr>
            </w:pPr>
            <w:r>
              <w:rPr>
                <w:b/>
                <w:bCs/>
                <w:color w:val="auto"/>
              </w:rPr>
              <w:t>表4-1</w:t>
            </w:r>
            <w:r>
              <w:rPr>
                <w:rFonts w:hint="eastAsia"/>
                <w:b/>
                <w:bCs/>
                <w:color w:val="auto"/>
                <w:lang w:val="en-US" w:eastAsia="zh-CN"/>
              </w:rPr>
              <w:t>3</w:t>
            </w:r>
            <w:r>
              <w:rPr>
                <w:b/>
                <w:bCs/>
                <w:color w:val="auto"/>
              </w:rPr>
              <w:t xml:space="preserve">    项目危险废物分析结果表</w:t>
            </w:r>
          </w:p>
          <w:tbl>
            <w:tblPr>
              <w:tblStyle w:val="30"/>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58"/>
              <w:gridCol w:w="841"/>
              <w:gridCol w:w="883"/>
              <w:gridCol w:w="725"/>
              <w:gridCol w:w="898"/>
              <w:gridCol w:w="694"/>
              <w:gridCol w:w="794"/>
              <w:gridCol w:w="728"/>
              <w:gridCol w:w="629"/>
              <w:gridCol w:w="91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70" w:type="pct"/>
                  <w:vAlign w:val="center"/>
                </w:tcPr>
                <w:p>
                  <w:pPr>
                    <w:pStyle w:val="98"/>
                    <w:rPr>
                      <w:color w:val="auto"/>
                    </w:rPr>
                  </w:pPr>
                  <w:r>
                    <w:rPr>
                      <w:rFonts w:hint="eastAsia"/>
                      <w:color w:val="auto"/>
                    </w:rPr>
                    <w:t>序号</w:t>
                  </w:r>
                </w:p>
              </w:tc>
              <w:tc>
                <w:tcPr>
                  <w:tcW w:w="509" w:type="pct"/>
                  <w:vAlign w:val="center"/>
                </w:tcPr>
                <w:p>
                  <w:pPr>
                    <w:pStyle w:val="98"/>
                    <w:rPr>
                      <w:color w:val="auto"/>
                    </w:rPr>
                  </w:pPr>
                  <w:r>
                    <w:rPr>
                      <w:rFonts w:hint="eastAsia"/>
                      <w:color w:val="auto"/>
                    </w:rPr>
                    <w:t>危险废物名称</w:t>
                  </w:r>
                </w:p>
              </w:tc>
              <w:tc>
                <w:tcPr>
                  <w:tcW w:w="499" w:type="pct"/>
                  <w:vAlign w:val="center"/>
                </w:tcPr>
                <w:p>
                  <w:pPr>
                    <w:pStyle w:val="98"/>
                    <w:rPr>
                      <w:color w:val="auto"/>
                    </w:rPr>
                  </w:pPr>
                  <w:r>
                    <w:rPr>
                      <w:rFonts w:hint="eastAsia"/>
                      <w:color w:val="auto"/>
                    </w:rPr>
                    <w:t>危险废物类别</w:t>
                  </w:r>
                </w:p>
              </w:tc>
              <w:tc>
                <w:tcPr>
                  <w:tcW w:w="524" w:type="pct"/>
                  <w:vAlign w:val="center"/>
                </w:tcPr>
                <w:p>
                  <w:pPr>
                    <w:pStyle w:val="98"/>
                    <w:rPr>
                      <w:color w:val="auto"/>
                    </w:rPr>
                  </w:pPr>
                  <w:r>
                    <w:rPr>
                      <w:rFonts w:hint="eastAsia"/>
                      <w:color w:val="auto"/>
                    </w:rPr>
                    <w:t>危险废物代码</w:t>
                  </w:r>
                </w:p>
              </w:tc>
              <w:tc>
                <w:tcPr>
                  <w:tcW w:w="430" w:type="pct"/>
                  <w:vAlign w:val="center"/>
                </w:tcPr>
                <w:p>
                  <w:pPr>
                    <w:pStyle w:val="98"/>
                    <w:rPr>
                      <w:color w:val="auto"/>
                    </w:rPr>
                  </w:pPr>
                  <w:r>
                    <w:rPr>
                      <w:rFonts w:hint="eastAsia"/>
                      <w:color w:val="auto"/>
                    </w:rPr>
                    <w:t>产生量t/a</w:t>
                  </w:r>
                </w:p>
              </w:tc>
              <w:tc>
                <w:tcPr>
                  <w:tcW w:w="533" w:type="pct"/>
                  <w:vAlign w:val="center"/>
                </w:tcPr>
                <w:p>
                  <w:pPr>
                    <w:pStyle w:val="98"/>
                    <w:rPr>
                      <w:color w:val="auto"/>
                    </w:rPr>
                  </w:pPr>
                  <w:r>
                    <w:rPr>
                      <w:rFonts w:hint="eastAsia"/>
                      <w:color w:val="auto"/>
                    </w:rPr>
                    <w:t>产生工序及装置</w:t>
                  </w:r>
                </w:p>
              </w:tc>
              <w:tc>
                <w:tcPr>
                  <w:tcW w:w="412" w:type="pct"/>
                  <w:vAlign w:val="center"/>
                </w:tcPr>
                <w:p>
                  <w:pPr>
                    <w:pStyle w:val="98"/>
                    <w:rPr>
                      <w:color w:val="auto"/>
                    </w:rPr>
                  </w:pPr>
                  <w:r>
                    <w:rPr>
                      <w:rFonts w:hint="eastAsia"/>
                      <w:color w:val="auto"/>
                    </w:rPr>
                    <w:t>形态</w:t>
                  </w:r>
                </w:p>
              </w:tc>
              <w:tc>
                <w:tcPr>
                  <w:tcW w:w="471" w:type="pct"/>
                  <w:vAlign w:val="center"/>
                </w:tcPr>
                <w:p>
                  <w:pPr>
                    <w:pStyle w:val="98"/>
                    <w:rPr>
                      <w:color w:val="auto"/>
                    </w:rPr>
                  </w:pPr>
                  <w:r>
                    <w:rPr>
                      <w:rFonts w:hint="eastAsia"/>
                      <w:color w:val="auto"/>
                    </w:rPr>
                    <w:t>有害成分</w:t>
                  </w:r>
                </w:p>
              </w:tc>
              <w:tc>
                <w:tcPr>
                  <w:tcW w:w="432" w:type="pct"/>
                  <w:vAlign w:val="center"/>
                </w:tcPr>
                <w:p>
                  <w:pPr>
                    <w:pStyle w:val="98"/>
                    <w:rPr>
                      <w:color w:val="auto"/>
                    </w:rPr>
                  </w:pPr>
                  <w:r>
                    <w:rPr>
                      <w:rFonts w:hint="eastAsia"/>
                      <w:color w:val="auto"/>
                    </w:rPr>
                    <w:t>产生周期</w:t>
                  </w:r>
                </w:p>
              </w:tc>
              <w:tc>
                <w:tcPr>
                  <w:tcW w:w="373" w:type="pct"/>
                  <w:vAlign w:val="center"/>
                </w:tcPr>
                <w:p>
                  <w:pPr>
                    <w:pStyle w:val="98"/>
                    <w:rPr>
                      <w:color w:val="auto"/>
                    </w:rPr>
                  </w:pPr>
                  <w:r>
                    <w:rPr>
                      <w:rFonts w:hint="eastAsia"/>
                      <w:color w:val="auto"/>
                    </w:rPr>
                    <w:t>危险特性</w:t>
                  </w:r>
                </w:p>
              </w:tc>
              <w:tc>
                <w:tcPr>
                  <w:tcW w:w="542" w:type="pct"/>
                  <w:vAlign w:val="center"/>
                </w:tcPr>
                <w:p>
                  <w:pPr>
                    <w:pStyle w:val="98"/>
                    <w:rPr>
                      <w:color w:val="auto"/>
                    </w:rPr>
                  </w:pPr>
                  <w:r>
                    <w:rPr>
                      <w:rFonts w:hint="eastAsia"/>
                      <w:color w:val="auto"/>
                    </w:rPr>
                    <w:t>污染防治措施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70" w:type="pct"/>
                  <w:vAlign w:val="center"/>
                </w:tcPr>
                <w:p>
                  <w:pPr>
                    <w:pStyle w:val="98"/>
                    <w:rPr>
                      <w:color w:val="auto"/>
                    </w:rPr>
                  </w:pPr>
                  <w:r>
                    <w:rPr>
                      <w:rFonts w:hint="eastAsia"/>
                      <w:color w:val="auto"/>
                    </w:rPr>
                    <w:t>1</w:t>
                  </w:r>
                </w:p>
              </w:tc>
              <w:tc>
                <w:tcPr>
                  <w:tcW w:w="509" w:type="pct"/>
                  <w:vAlign w:val="center"/>
                </w:tcPr>
                <w:p>
                  <w:pPr>
                    <w:pStyle w:val="98"/>
                    <w:rPr>
                      <w:color w:val="auto"/>
                    </w:rPr>
                  </w:pPr>
                  <w:r>
                    <w:rPr>
                      <w:rFonts w:hint="eastAsia"/>
                      <w:color w:val="auto"/>
                    </w:rPr>
                    <w:t>废活性炭</w:t>
                  </w:r>
                </w:p>
              </w:tc>
              <w:tc>
                <w:tcPr>
                  <w:tcW w:w="499" w:type="pct"/>
                  <w:vAlign w:val="center"/>
                </w:tcPr>
                <w:p>
                  <w:pPr>
                    <w:pStyle w:val="98"/>
                    <w:rPr>
                      <w:color w:val="auto"/>
                    </w:rPr>
                  </w:pPr>
                  <w:r>
                    <w:rPr>
                      <w:rFonts w:hint="eastAsia"/>
                      <w:color w:val="auto"/>
                    </w:rPr>
                    <w:t>HW49</w:t>
                  </w:r>
                </w:p>
              </w:tc>
              <w:tc>
                <w:tcPr>
                  <w:tcW w:w="524" w:type="pct"/>
                  <w:vAlign w:val="center"/>
                </w:tcPr>
                <w:p>
                  <w:pPr>
                    <w:pStyle w:val="98"/>
                    <w:rPr>
                      <w:color w:val="auto"/>
                    </w:rPr>
                  </w:pPr>
                  <w:r>
                    <w:rPr>
                      <w:rFonts w:hint="eastAsia"/>
                      <w:color w:val="auto"/>
                    </w:rPr>
                    <w:t>900-039-49</w:t>
                  </w:r>
                </w:p>
              </w:tc>
              <w:tc>
                <w:tcPr>
                  <w:tcW w:w="430" w:type="pct"/>
                  <w:vAlign w:val="center"/>
                </w:tcPr>
                <w:p>
                  <w:pPr>
                    <w:pStyle w:val="98"/>
                    <w:rPr>
                      <w:rFonts w:hint="default" w:eastAsia="宋体"/>
                      <w:color w:val="auto"/>
                      <w:lang w:val="en-US" w:eastAsia="zh-CN"/>
                    </w:rPr>
                  </w:pPr>
                  <w:r>
                    <w:rPr>
                      <w:rFonts w:hint="eastAsia"/>
                      <w:color w:val="auto"/>
                      <w:lang w:val="en-US" w:eastAsia="zh-CN"/>
                    </w:rPr>
                    <w:t>73.3kg/a</w:t>
                  </w:r>
                </w:p>
              </w:tc>
              <w:tc>
                <w:tcPr>
                  <w:tcW w:w="533" w:type="pct"/>
                  <w:vMerge w:val="restart"/>
                  <w:vAlign w:val="center"/>
                </w:tcPr>
                <w:p>
                  <w:pPr>
                    <w:pStyle w:val="98"/>
                    <w:rPr>
                      <w:color w:val="auto"/>
                    </w:rPr>
                  </w:pPr>
                  <w:r>
                    <w:rPr>
                      <w:rFonts w:hint="eastAsia"/>
                      <w:color w:val="auto"/>
                    </w:rPr>
                    <w:t>废气处理设备</w:t>
                  </w:r>
                </w:p>
              </w:tc>
              <w:tc>
                <w:tcPr>
                  <w:tcW w:w="412" w:type="pct"/>
                  <w:vMerge w:val="restart"/>
                  <w:vAlign w:val="center"/>
                </w:tcPr>
                <w:p>
                  <w:pPr>
                    <w:pStyle w:val="98"/>
                    <w:rPr>
                      <w:color w:val="auto"/>
                    </w:rPr>
                  </w:pPr>
                  <w:r>
                    <w:rPr>
                      <w:rFonts w:hint="eastAsia"/>
                      <w:color w:val="auto"/>
                    </w:rPr>
                    <w:t>固态</w:t>
                  </w:r>
                </w:p>
              </w:tc>
              <w:tc>
                <w:tcPr>
                  <w:tcW w:w="471" w:type="pct"/>
                  <w:vAlign w:val="center"/>
                </w:tcPr>
                <w:p>
                  <w:pPr>
                    <w:pStyle w:val="98"/>
                    <w:rPr>
                      <w:color w:val="auto"/>
                    </w:rPr>
                  </w:pPr>
                  <w:r>
                    <w:rPr>
                      <w:rFonts w:hint="eastAsia"/>
                      <w:color w:val="auto"/>
                    </w:rPr>
                    <w:t>非甲烷总烃</w:t>
                  </w:r>
                </w:p>
              </w:tc>
              <w:tc>
                <w:tcPr>
                  <w:tcW w:w="432" w:type="pct"/>
                  <w:vAlign w:val="center"/>
                </w:tcPr>
                <w:p>
                  <w:pPr>
                    <w:pStyle w:val="98"/>
                    <w:rPr>
                      <w:rFonts w:hint="eastAsia" w:eastAsia="宋体"/>
                      <w:color w:val="auto"/>
                      <w:lang w:eastAsia="zh-CN"/>
                    </w:rPr>
                  </w:pPr>
                  <w:r>
                    <w:rPr>
                      <w:rFonts w:hint="eastAsia"/>
                      <w:color w:val="auto"/>
                      <w:lang w:val="en-US" w:eastAsia="zh-CN"/>
                    </w:rPr>
                    <w:t>半年</w:t>
                  </w:r>
                </w:p>
              </w:tc>
              <w:tc>
                <w:tcPr>
                  <w:tcW w:w="373" w:type="pct"/>
                  <w:vAlign w:val="center"/>
                </w:tcPr>
                <w:p>
                  <w:pPr>
                    <w:pStyle w:val="98"/>
                    <w:rPr>
                      <w:color w:val="auto"/>
                    </w:rPr>
                  </w:pPr>
                  <w:r>
                    <w:rPr>
                      <w:rFonts w:hint="eastAsia"/>
                      <w:color w:val="auto"/>
                    </w:rPr>
                    <w:t>T</w:t>
                  </w:r>
                </w:p>
              </w:tc>
              <w:tc>
                <w:tcPr>
                  <w:tcW w:w="542" w:type="pct"/>
                  <w:vMerge w:val="restart"/>
                  <w:vAlign w:val="center"/>
                </w:tcPr>
                <w:p>
                  <w:pPr>
                    <w:pStyle w:val="98"/>
                    <w:rPr>
                      <w:color w:val="auto"/>
                    </w:rPr>
                  </w:pPr>
                  <w:r>
                    <w:rPr>
                      <w:rFonts w:hint="eastAsia"/>
                      <w:color w:val="auto"/>
                    </w:rPr>
                    <w:t>分类暂存于</w:t>
                  </w:r>
                  <w:r>
                    <w:rPr>
                      <w:rFonts w:hint="eastAsia"/>
                      <w:color w:val="auto"/>
                      <w:lang w:eastAsia="zh-CN"/>
                    </w:rPr>
                    <w:t>危废贮存库</w:t>
                  </w:r>
                  <w:r>
                    <w:rPr>
                      <w:rFonts w:hint="eastAsia"/>
                      <w:color w:val="auto"/>
                    </w:rPr>
                    <w:t>内，定期交有资质单位回收处置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70" w:type="pct"/>
                  <w:vAlign w:val="center"/>
                </w:tcPr>
                <w:p>
                  <w:pPr>
                    <w:pStyle w:val="98"/>
                    <w:rPr>
                      <w:rFonts w:hint="eastAsia" w:eastAsia="宋体"/>
                      <w:color w:val="auto"/>
                      <w:lang w:val="en-US" w:eastAsia="zh-CN"/>
                    </w:rPr>
                  </w:pPr>
                  <w:r>
                    <w:rPr>
                      <w:rFonts w:hint="eastAsia"/>
                      <w:color w:val="auto"/>
                      <w:lang w:val="en-US" w:eastAsia="zh-CN"/>
                    </w:rPr>
                    <w:t>2</w:t>
                  </w:r>
                </w:p>
              </w:tc>
              <w:tc>
                <w:tcPr>
                  <w:tcW w:w="509" w:type="pct"/>
                  <w:vAlign w:val="center"/>
                </w:tcPr>
                <w:p>
                  <w:pPr>
                    <w:pStyle w:val="98"/>
                    <w:rPr>
                      <w:rFonts w:hint="eastAsia"/>
                      <w:color w:val="auto"/>
                    </w:rPr>
                  </w:pPr>
                  <w:r>
                    <w:rPr>
                      <w:rFonts w:hint="eastAsia"/>
                      <w:color w:val="auto"/>
                      <w:lang w:val="en-US" w:eastAsia="zh-CN"/>
                    </w:rPr>
                    <w:t>废过滤棉</w:t>
                  </w:r>
                </w:p>
              </w:tc>
              <w:tc>
                <w:tcPr>
                  <w:tcW w:w="499" w:type="pct"/>
                  <w:vAlign w:val="center"/>
                </w:tcPr>
                <w:p>
                  <w:pPr>
                    <w:pStyle w:val="98"/>
                    <w:rPr>
                      <w:rFonts w:hint="eastAsia"/>
                      <w:color w:val="auto"/>
                    </w:rPr>
                  </w:pPr>
                  <w:r>
                    <w:rPr>
                      <w:rFonts w:hint="eastAsia"/>
                      <w:color w:val="auto"/>
                    </w:rPr>
                    <w:t>HW49</w:t>
                  </w:r>
                </w:p>
              </w:tc>
              <w:tc>
                <w:tcPr>
                  <w:tcW w:w="524" w:type="pct"/>
                  <w:vAlign w:val="center"/>
                </w:tcPr>
                <w:p>
                  <w:pPr>
                    <w:pStyle w:val="98"/>
                    <w:rPr>
                      <w:rFonts w:hint="default" w:eastAsia="宋体"/>
                      <w:color w:val="auto"/>
                      <w:lang w:val="en-US" w:eastAsia="zh-CN"/>
                    </w:rPr>
                  </w:pPr>
                  <w:r>
                    <w:rPr>
                      <w:rFonts w:hint="eastAsia"/>
                      <w:color w:val="auto"/>
                      <w:lang w:val="en-US" w:eastAsia="zh-CN"/>
                    </w:rPr>
                    <w:t>900-047-49</w:t>
                  </w:r>
                </w:p>
              </w:tc>
              <w:tc>
                <w:tcPr>
                  <w:tcW w:w="430" w:type="pct"/>
                  <w:vAlign w:val="center"/>
                </w:tcPr>
                <w:p>
                  <w:pPr>
                    <w:pStyle w:val="98"/>
                    <w:rPr>
                      <w:rFonts w:hint="eastAsia"/>
                      <w:color w:val="auto"/>
                      <w:lang w:val="en-US" w:eastAsia="zh-CN"/>
                    </w:rPr>
                  </w:pPr>
                  <w:r>
                    <w:rPr>
                      <w:rFonts w:hint="eastAsia"/>
                      <w:color w:val="auto"/>
                      <w:lang w:val="en-US" w:eastAsia="zh-CN"/>
                    </w:rPr>
                    <w:t>30.15kg/a</w:t>
                  </w:r>
                </w:p>
              </w:tc>
              <w:tc>
                <w:tcPr>
                  <w:tcW w:w="533" w:type="pct"/>
                  <w:vMerge w:val="continue"/>
                  <w:vAlign w:val="center"/>
                </w:tcPr>
                <w:p>
                  <w:pPr>
                    <w:pStyle w:val="98"/>
                    <w:rPr>
                      <w:rFonts w:hint="eastAsia"/>
                      <w:color w:val="auto"/>
                    </w:rPr>
                  </w:pPr>
                </w:p>
              </w:tc>
              <w:tc>
                <w:tcPr>
                  <w:tcW w:w="412" w:type="pct"/>
                  <w:vMerge w:val="continue"/>
                  <w:vAlign w:val="center"/>
                </w:tcPr>
                <w:p>
                  <w:pPr>
                    <w:pStyle w:val="98"/>
                    <w:rPr>
                      <w:rFonts w:hint="eastAsia"/>
                      <w:color w:val="auto"/>
                    </w:rPr>
                  </w:pPr>
                </w:p>
              </w:tc>
              <w:tc>
                <w:tcPr>
                  <w:tcW w:w="471" w:type="pct"/>
                  <w:vAlign w:val="center"/>
                </w:tcPr>
                <w:p>
                  <w:pPr>
                    <w:pStyle w:val="98"/>
                    <w:rPr>
                      <w:rFonts w:hint="eastAsia"/>
                      <w:color w:val="auto"/>
                    </w:rPr>
                  </w:pPr>
                  <w:r>
                    <w:rPr>
                      <w:rFonts w:hint="eastAsia"/>
                      <w:color w:val="auto"/>
                      <w:lang w:val="en-US" w:eastAsia="zh-CN"/>
                    </w:rPr>
                    <w:t>重金属</w:t>
                  </w:r>
                </w:p>
              </w:tc>
              <w:tc>
                <w:tcPr>
                  <w:tcW w:w="670" w:type="dxa"/>
                  <w:vAlign w:val="center"/>
                </w:tcPr>
                <w:p>
                  <w:pPr>
                    <w:pStyle w:val="98"/>
                    <w:rPr>
                      <w:rFonts w:hint="eastAsia"/>
                      <w:color w:val="auto"/>
                      <w:lang w:val="en-US" w:eastAsia="zh-CN"/>
                    </w:rPr>
                  </w:pPr>
                  <w:r>
                    <w:rPr>
                      <w:rFonts w:hint="eastAsia"/>
                      <w:color w:val="auto"/>
                      <w:lang w:val="en-US" w:eastAsia="zh-CN"/>
                    </w:rPr>
                    <w:t>半年</w:t>
                  </w:r>
                </w:p>
              </w:tc>
              <w:tc>
                <w:tcPr>
                  <w:tcW w:w="570" w:type="dxa"/>
                  <w:vAlign w:val="center"/>
                </w:tcPr>
                <w:p>
                  <w:pPr>
                    <w:pStyle w:val="98"/>
                    <w:rPr>
                      <w:rFonts w:hint="eastAsia"/>
                      <w:color w:val="auto"/>
                    </w:rPr>
                  </w:pPr>
                  <w:r>
                    <w:rPr>
                      <w:rFonts w:hint="eastAsia"/>
                      <w:color w:val="auto"/>
                    </w:rPr>
                    <w:t>T</w:t>
                  </w:r>
                </w:p>
              </w:tc>
              <w:tc>
                <w:tcPr>
                  <w:tcW w:w="542" w:type="pct"/>
                  <w:vMerge w:val="continue"/>
                  <w:vAlign w:val="center"/>
                </w:tcPr>
                <w:p>
                  <w:pPr>
                    <w:pStyle w:val="98"/>
                    <w:rPr>
                      <w:rFonts w:hint="eastAsia"/>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0" w:type="pct"/>
                  <w:vAlign w:val="center"/>
                </w:tcPr>
                <w:p>
                  <w:pPr>
                    <w:pStyle w:val="98"/>
                    <w:rPr>
                      <w:color w:val="auto"/>
                    </w:rPr>
                  </w:pPr>
                  <w:r>
                    <w:rPr>
                      <w:rFonts w:hint="eastAsia"/>
                      <w:color w:val="auto"/>
                    </w:rPr>
                    <w:t>3</w:t>
                  </w:r>
                </w:p>
              </w:tc>
              <w:tc>
                <w:tcPr>
                  <w:tcW w:w="509" w:type="pct"/>
                  <w:vAlign w:val="center"/>
                </w:tcPr>
                <w:p>
                  <w:pPr>
                    <w:pStyle w:val="98"/>
                    <w:rPr>
                      <w:color w:val="auto"/>
                    </w:rPr>
                  </w:pPr>
                  <w:r>
                    <w:rPr>
                      <w:rFonts w:hint="eastAsia"/>
                      <w:color w:val="auto"/>
                    </w:rPr>
                    <w:t>废润滑油</w:t>
                  </w:r>
                </w:p>
              </w:tc>
              <w:tc>
                <w:tcPr>
                  <w:tcW w:w="499" w:type="pct"/>
                  <w:vAlign w:val="center"/>
                </w:tcPr>
                <w:p>
                  <w:pPr>
                    <w:pStyle w:val="98"/>
                    <w:rPr>
                      <w:color w:val="auto"/>
                    </w:rPr>
                  </w:pPr>
                  <w:r>
                    <w:rPr>
                      <w:color w:val="auto"/>
                    </w:rPr>
                    <w:t>HW08</w:t>
                  </w:r>
                </w:p>
              </w:tc>
              <w:tc>
                <w:tcPr>
                  <w:tcW w:w="524" w:type="pct"/>
                  <w:vAlign w:val="center"/>
                </w:tcPr>
                <w:p>
                  <w:pPr>
                    <w:pStyle w:val="98"/>
                    <w:rPr>
                      <w:color w:val="auto"/>
                    </w:rPr>
                  </w:pPr>
                  <w:r>
                    <w:rPr>
                      <w:color w:val="auto"/>
                    </w:rPr>
                    <w:t>900-21</w:t>
                  </w:r>
                  <w:r>
                    <w:rPr>
                      <w:rFonts w:hint="eastAsia"/>
                      <w:color w:val="auto"/>
                    </w:rPr>
                    <w:t>7</w:t>
                  </w:r>
                  <w:r>
                    <w:rPr>
                      <w:color w:val="auto"/>
                    </w:rPr>
                    <w:t>-08</w:t>
                  </w:r>
                </w:p>
              </w:tc>
              <w:tc>
                <w:tcPr>
                  <w:tcW w:w="430" w:type="pct"/>
                  <w:vAlign w:val="center"/>
                </w:tcPr>
                <w:p>
                  <w:pPr>
                    <w:pStyle w:val="98"/>
                    <w:rPr>
                      <w:rFonts w:hint="default" w:eastAsia="宋体"/>
                      <w:color w:val="auto"/>
                      <w:lang w:val="en-US" w:eastAsia="zh-CN"/>
                    </w:rPr>
                  </w:pPr>
                  <w:r>
                    <w:rPr>
                      <w:rFonts w:hint="eastAsia"/>
                      <w:color w:val="auto"/>
                      <w:lang w:val="en-US" w:eastAsia="zh-CN"/>
                    </w:rPr>
                    <w:t>0.9</w:t>
                  </w:r>
                </w:p>
              </w:tc>
              <w:tc>
                <w:tcPr>
                  <w:tcW w:w="533" w:type="pct"/>
                  <w:vMerge w:val="restart"/>
                  <w:vAlign w:val="center"/>
                </w:tcPr>
                <w:p>
                  <w:pPr>
                    <w:pStyle w:val="98"/>
                    <w:rPr>
                      <w:color w:val="auto"/>
                    </w:rPr>
                  </w:pPr>
                  <w:r>
                    <w:rPr>
                      <w:rFonts w:hint="eastAsia"/>
                      <w:color w:val="auto"/>
                    </w:rPr>
                    <w:t>设备检修、维修</w:t>
                  </w:r>
                </w:p>
              </w:tc>
              <w:tc>
                <w:tcPr>
                  <w:tcW w:w="412" w:type="pct"/>
                  <w:vAlign w:val="center"/>
                </w:tcPr>
                <w:p>
                  <w:pPr>
                    <w:pStyle w:val="98"/>
                    <w:rPr>
                      <w:color w:val="auto"/>
                    </w:rPr>
                  </w:pPr>
                  <w:r>
                    <w:rPr>
                      <w:rFonts w:hint="eastAsia"/>
                      <w:color w:val="auto"/>
                    </w:rPr>
                    <w:t>膏状</w:t>
                  </w:r>
                </w:p>
              </w:tc>
              <w:tc>
                <w:tcPr>
                  <w:tcW w:w="471" w:type="pct"/>
                  <w:vMerge w:val="restart"/>
                  <w:vAlign w:val="center"/>
                </w:tcPr>
                <w:p>
                  <w:pPr>
                    <w:pStyle w:val="98"/>
                    <w:rPr>
                      <w:color w:val="auto"/>
                    </w:rPr>
                  </w:pPr>
                  <w:r>
                    <w:rPr>
                      <w:rFonts w:hint="eastAsia"/>
                      <w:color w:val="auto"/>
                      <w:lang w:val="en-US" w:eastAsia="zh-CN"/>
                    </w:rPr>
                    <w:t>油类物质</w:t>
                  </w:r>
                </w:p>
              </w:tc>
              <w:tc>
                <w:tcPr>
                  <w:tcW w:w="432" w:type="pct"/>
                  <w:vAlign w:val="center"/>
                </w:tcPr>
                <w:p>
                  <w:pPr>
                    <w:pStyle w:val="98"/>
                    <w:rPr>
                      <w:rFonts w:hint="eastAsia" w:eastAsia="宋体"/>
                      <w:color w:val="auto"/>
                      <w:lang w:eastAsia="zh-CN"/>
                    </w:rPr>
                  </w:pPr>
                  <w:r>
                    <w:rPr>
                      <w:rFonts w:hint="eastAsia"/>
                      <w:color w:val="auto"/>
                      <w:lang w:val="en-US" w:eastAsia="zh-CN"/>
                    </w:rPr>
                    <w:t>月</w:t>
                  </w:r>
                </w:p>
              </w:tc>
              <w:tc>
                <w:tcPr>
                  <w:tcW w:w="373" w:type="pct"/>
                  <w:vAlign w:val="center"/>
                </w:tcPr>
                <w:p>
                  <w:pPr>
                    <w:pStyle w:val="98"/>
                    <w:rPr>
                      <w:color w:val="auto"/>
                    </w:rPr>
                  </w:pPr>
                  <w:r>
                    <w:rPr>
                      <w:color w:val="auto"/>
                    </w:rPr>
                    <w:t>I</w:t>
                  </w:r>
                </w:p>
              </w:tc>
              <w:tc>
                <w:tcPr>
                  <w:tcW w:w="542" w:type="pct"/>
                  <w:vMerge w:val="continue"/>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0" w:type="pct"/>
                  <w:vAlign w:val="center"/>
                </w:tcPr>
                <w:p>
                  <w:pPr>
                    <w:pStyle w:val="98"/>
                    <w:rPr>
                      <w:color w:val="auto"/>
                    </w:rPr>
                  </w:pPr>
                  <w:r>
                    <w:rPr>
                      <w:rFonts w:hint="eastAsia"/>
                      <w:color w:val="auto"/>
                    </w:rPr>
                    <w:t>4</w:t>
                  </w:r>
                </w:p>
              </w:tc>
              <w:tc>
                <w:tcPr>
                  <w:tcW w:w="509" w:type="pct"/>
                  <w:vAlign w:val="center"/>
                </w:tcPr>
                <w:p>
                  <w:pPr>
                    <w:pStyle w:val="98"/>
                    <w:rPr>
                      <w:color w:val="auto"/>
                    </w:rPr>
                  </w:pPr>
                  <w:r>
                    <w:rPr>
                      <w:rFonts w:hint="eastAsia"/>
                      <w:color w:val="auto"/>
                    </w:rPr>
                    <w:t>废油桶</w:t>
                  </w:r>
                </w:p>
              </w:tc>
              <w:tc>
                <w:tcPr>
                  <w:tcW w:w="499" w:type="pct"/>
                  <w:vAlign w:val="center"/>
                </w:tcPr>
                <w:p>
                  <w:pPr>
                    <w:pStyle w:val="98"/>
                    <w:rPr>
                      <w:color w:val="auto"/>
                    </w:rPr>
                  </w:pPr>
                  <w:r>
                    <w:rPr>
                      <w:color w:val="auto"/>
                    </w:rPr>
                    <w:t>HW</w:t>
                  </w:r>
                  <w:r>
                    <w:rPr>
                      <w:rFonts w:hint="eastAsia"/>
                      <w:color w:val="auto"/>
                    </w:rPr>
                    <w:t>08</w:t>
                  </w:r>
                </w:p>
              </w:tc>
              <w:tc>
                <w:tcPr>
                  <w:tcW w:w="524" w:type="pct"/>
                  <w:vAlign w:val="center"/>
                </w:tcPr>
                <w:p>
                  <w:pPr>
                    <w:pStyle w:val="98"/>
                    <w:rPr>
                      <w:color w:val="auto"/>
                    </w:rPr>
                  </w:pPr>
                  <w:r>
                    <w:rPr>
                      <w:rFonts w:hint="eastAsia"/>
                      <w:color w:val="auto"/>
                    </w:rPr>
                    <w:t>900-041-49</w:t>
                  </w:r>
                </w:p>
              </w:tc>
              <w:tc>
                <w:tcPr>
                  <w:tcW w:w="430" w:type="pct"/>
                  <w:vAlign w:val="center"/>
                </w:tcPr>
                <w:p>
                  <w:pPr>
                    <w:pStyle w:val="98"/>
                    <w:rPr>
                      <w:rFonts w:hint="default" w:eastAsia="宋体"/>
                      <w:color w:val="auto"/>
                      <w:lang w:val="en-US" w:eastAsia="zh-CN"/>
                    </w:rPr>
                  </w:pPr>
                  <w:r>
                    <w:rPr>
                      <w:rFonts w:hint="eastAsia"/>
                      <w:color w:val="auto"/>
                      <w:lang w:val="en-US" w:eastAsia="zh-CN"/>
                    </w:rPr>
                    <w:t>0.05</w:t>
                  </w:r>
                </w:p>
              </w:tc>
              <w:tc>
                <w:tcPr>
                  <w:tcW w:w="533" w:type="pct"/>
                  <w:vMerge w:val="continue"/>
                  <w:vAlign w:val="center"/>
                </w:tcPr>
                <w:p>
                  <w:pPr>
                    <w:pStyle w:val="98"/>
                    <w:rPr>
                      <w:color w:val="auto"/>
                    </w:rPr>
                  </w:pPr>
                </w:p>
              </w:tc>
              <w:tc>
                <w:tcPr>
                  <w:tcW w:w="412" w:type="pct"/>
                  <w:vAlign w:val="center"/>
                </w:tcPr>
                <w:p>
                  <w:pPr>
                    <w:pStyle w:val="98"/>
                    <w:rPr>
                      <w:color w:val="auto"/>
                    </w:rPr>
                  </w:pPr>
                  <w:r>
                    <w:rPr>
                      <w:rFonts w:hint="eastAsia"/>
                      <w:color w:val="auto"/>
                    </w:rPr>
                    <w:t>固体</w:t>
                  </w:r>
                </w:p>
              </w:tc>
              <w:tc>
                <w:tcPr>
                  <w:tcW w:w="471" w:type="pct"/>
                  <w:vMerge w:val="continue"/>
                  <w:vAlign w:val="center"/>
                </w:tcPr>
                <w:p>
                  <w:pPr>
                    <w:pStyle w:val="98"/>
                    <w:rPr>
                      <w:color w:val="auto"/>
                    </w:rPr>
                  </w:pPr>
                </w:p>
              </w:tc>
              <w:tc>
                <w:tcPr>
                  <w:tcW w:w="432" w:type="pct"/>
                  <w:vAlign w:val="center"/>
                </w:tcPr>
                <w:p>
                  <w:pPr>
                    <w:pStyle w:val="98"/>
                    <w:rPr>
                      <w:rFonts w:hint="eastAsia" w:eastAsia="宋体"/>
                      <w:color w:val="auto"/>
                      <w:lang w:eastAsia="zh-CN"/>
                    </w:rPr>
                  </w:pPr>
                  <w:r>
                    <w:rPr>
                      <w:rFonts w:hint="eastAsia"/>
                      <w:color w:val="auto"/>
                      <w:lang w:val="en-US" w:eastAsia="zh-CN"/>
                    </w:rPr>
                    <w:t>月</w:t>
                  </w:r>
                </w:p>
              </w:tc>
              <w:tc>
                <w:tcPr>
                  <w:tcW w:w="373" w:type="pct"/>
                  <w:vAlign w:val="center"/>
                </w:tcPr>
                <w:p>
                  <w:pPr>
                    <w:pStyle w:val="98"/>
                    <w:rPr>
                      <w:color w:val="auto"/>
                    </w:rPr>
                  </w:pPr>
                  <w:r>
                    <w:rPr>
                      <w:color w:val="auto"/>
                    </w:rPr>
                    <w:t>I</w:t>
                  </w:r>
                </w:p>
              </w:tc>
              <w:tc>
                <w:tcPr>
                  <w:tcW w:w="542" w:type="pct"/>
                  <w:vMerge w:val="continue"/>
                  <w:vAlign w:val="center"/>
                </w:tcPr>
                <w:p>
                  <w:pPr>
                    <w:pStyle w:val="98"/>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70" w:type="pct"/>
                  <w:vAlign w:val="center"/>
                </w:tcPr>
                <w:p>
                  <w:pPr>
                    <w:pStyle w:val="98"/>
                    <w:rPr>
                      <w:color w:val="auto"/>
                    </w:rPr>
                  </w:pPr>
                  <w:r>
                    <w:rPr>
                      <w:rFonts w:hint="eastAsia"/>
                      <w:color w:val="auto"/>
                    </w:rPr>
                    <w:t>5</w:t>
                  </w:r>
                </w:p>
              </w:tc>
              <w:tc>
                <w:tcPr>
                  <w:tcW w:w="509" w:type="pct"/>
                  <w:vAlign w:val="center"/>
                </w:tcPr>
                <w:p>
                  <w:pPr>
                    <w:pStyle w:val="98"/>
                    <w:rPr>
                      <w:color w:val="auto"/>
                    </w:rPr>
                  </w:pPr>
                  <w:r>
                    <w:rPr>
                      <w:rFonts w:hint="eastAsia"/>
                      <w:color w:val="auto"/>
                    </w:rPr>
                    <w:t>废含油抹布/手套</w:t>
                  </w:r>
                </w:p>
              </w:tc>
              <w:tc>
                <w:tcPr>
                  <w:tcW w:w="499" w:type="pct"/>
                  <w:vAlign w:val="center"/>
                </w:tcPr>
                <w:p>
                  <w:pPr>
                    <w:pStyle w:val="98"/>
                    <w:rPr>
                      <w:color w:val="auto"/>
                    </w:rPr>
                  </w:pPr>
                  <w:r>
                    <w:rPr>
                      <w:rFonts w:hint="eastAsia"/>
                      <w:color w:val="auto"/>
                    </w:rPr>
                    <w:t>HW49</w:t>
                  </w:r>
                </w:p>
              </w:tc>
              <w:tc>
                <w:tcPr>
                  <w:tcW w:w="524" w:type="pct"/>
                  <w:vAlign w:val="center"/>
                </w:tcPr>
                <w:p>
                  <w:pPr>
                    <w:pStyle w:val="98"/>
                    <w:rPr>
                      <w:color w:val="auto"/>
                    </w:rPr>
                  </w:pPr>
                  <w:r>
                    <w:rPr>
                      <w:rFonts w:hint="eastAsia"/>
                      <w:color w:val="auto"/>
                    </w:rPr>
                    <w:t>900-041-49</w:t>
                  </w:r>
                </w:p>
              </w:tc>
              <w:tc>
                <w:tcPr>
                  <w:tcW w:w="430" w:type="pct"/>
                  <w:vAlign w:val="center"/>
                </w:tcPr>
                <w:p>
                  <w:pPr>
                    <w:pStyle w:val="98"/>
                    <w:rPr>
                      <w:rFonts w:hint="default" w:eastAsia="宋体"/>
                      <w:color w:val="auto"/>
                      <w:lang w:val="en-US" w:eastAsia="zh-CN"/>
                    </w:rPr>
                  </w:pPr>
                  <w:r>
                    <w:rPr>
                      <w:rFonts w:hint="eastAsia"/>
                      <w:color w:val="auto"/>
                      <w:lang w:val="en-US" w:eastAsia="zh-CN"/>
                    </w:rPr>
                    <w:t>0.05</w:t>
                  </w:r>
                </w:p>
              </w:tc>
              <w:tc>
                <w:tcPr>
                  <w:tcW w:w="533" w:type="pct"/>
                  <w:vMerge w:val="continue"/>
                  <w:vAlign w:val="center"/>
                </w:tcPr>
                <w:p>
                  <w:pPr>
                    <w:pStyle w:val="98"/>
                    <w:rPr>
                      <w:color w:val="auto"/>
                    </w:rPr>
                  </w:pPr>
                </w:p>
              </w:tc>
              <w:tc>
                <w:tcPr>
                  <w:tcW w:w="412" w:type="pct"/>
                  <w:vAlign w:val="center"/>
                </w:tcPr>
                <w:p>
                  <w:pPr>
                    <w:pStyle w:val="98"/>
                    <w:rPr>
                      <w:color w:val="auto"/>
                    </w:rPr>
                  </w:pPr>
                  <w:r>
                    <w:rPr>
                      <w:rFonts w:hint="eastAsia"/>
                      <w:color w:val="auto"/>
                    </w:rPr>
                    <w:t>固体</w:t>
                  </w:r>
                </w:p>
              </w:tc>
              <w:tc>
                <w:tcPr>
                  <w:tcW w:w="471" w:type="pct"/>
                  <w:vMerge w:val="continue"/>
                  <w:vAlign w:val="center"/>
                </w:tcPr>
                <w:p>
                  <w:pPr>
                    <w:pStyle w:val="98"/>
                    <w:rPr>
                      <w:color w:val="auto"/>
                    </w:rPr>
                  </w:pPr>
                </w:p>
              </w:tc>
              <w:tc>
                <w:tcPr>
                  <w:tcW w:w="432" w:type="pct"/>
                  <w:vAlign w:val="center"/>
                </w:tcPr>
                <w:p>
                  <w:pPr>
                    <w:pStyle w:val="98"/>
                    <w:rPr>
                      <w:rFonts w:hint="eastAsia" w:eastAsia="宋体"/>
                      <w:color w:val="auto"/>
                      <w:lang w:eastAsia="zh-CN"/>
                    </w:rPr>
                  </w:pPr>
                  <w:r>
                    <w:rPr>
                      <w:rFonts w:hint="eastAsia"/>
                      <w:color w:val="auto"/>
                      <w:lang w:val="en-US" w:eastAsia="zh-CN"/>
                    </w:rPr>
                    <w:t>月</w:t>
                  </w:r>
                </w:p>
              </w:tc>
              <w:tc>
                <w:tcPr>
                  <w:tcW w:w="373" w:type="pct"/>
                  <w:vAlign w:val="center"/>
                </w:tcPr>
                <w:p>
                  <w:pPr>
                    <w:pStyle w:val="98"/>
                    <w:rPr>
                      <w:color w:val="auto"/>
                    </w:rPr>
                  </w:pPr>
                  <w:r>
                    <w:rPr>
                      <w:color w:val="auto"/>
                    </w:rPr>
                    <w:t>I</w:t>
                  </w:r>
                </w:p>
              </w:tc>
              <w:tc>
                <w:tcPr>
                  <w:tcW w:w="542" w:type="pct"/>
                  <w:vMerge w:val="continue"/>
                  <w:vAlign w:val="center"/>
                </w:tcPr>
                <w:p>
                  <w:pPr>
                    <w:pStyle w:val="98"/>
                    <w:rPr>
                      <w:color w:val="auto"/>
                    </w:rPr>
                  </w:pPr>
                </w:p>
              </w:tc>
            </w:tr>
          </w:tbl>
          <w:p>
            <w:pPr>
              <w:pStyle w:val="98"/>
              <w:rPr>
                <w:b/>
                <w:bCs/>
                <w:color w:val="auto"/>
              </w:rPr>
            </w:pPr>
            <w:r>
              <w:rPr>
                <w:b/>
                <w:bCs/>
                <w:color w:val="auto"/>
              </w:rPr>
              <w:t>表4-1</w:t>
            </w:r>
            <w:r>
              <w:rPr>
                <w:rFonts w:hint="eastAsia"/>
                <w:b/>
                <w:bCs/>
                <w:color w:val="auto"/>
                <w:lang w:val="en-US" w:eastAsia="zh-CN"/>
              </w:rPr>
              <w:t>4</w:t>
            </w:r>
            <w:r>
              <w:rPr>
                <w:b/>
                <w:bCs/>
                <w:color w:val="auto"/>
              </w:rPr>
              <w:t xml:space="preserve">    </w:t>
            </w:r>
            <w:r>
              <w:rPr>
                <w:rFonts w:hint="eastAsia"/>
                <w:b/>
                <w:bCs/>
                <w:color w:val="auto"/>
              </w:rPr>
              <w:t>建设项目危险废物贮存场所基本情况表</w:t>
            </w:r>
          </w:p>
          <w:tbl>
            <w:tblPr>
              <w:tblStyle w:val="30"/>
              <w:tblW w:w="4994"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91"/>
              <w:gridCol w:w="1113"/>
              <w:gridCol w:w="870"/>
              <w:gridCol w:w="1194"/>
              <w:gridCol w:w="647"/>
              <w:gridCol w:w="684"/>
              <w:gridCol w:w="771"/>
              <w:gridCol w:w="941"/>
              <w:gridCol w:w="8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序号</w:t>
                  </w:r>
                </w:p>
              </w:tc>
              <w:tc>
                <w:tcPr>
                  <w:tcW w:w="529"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贮存场所名称</w:t>
                  </w:r>
                </w:p>
              </w:tc>
              <w:tc>
                <w:tcPr>
                  <w:tcW w:w="661"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危险废物名称</w:t>
                  </w:r>
                </w:p>
              </w:tc>
              <w:tc>
                <w:tcPr>
                  <w:tcW w:w="517"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危险废物类别</w:t>
                  </w:r>
                </w:p>
              </w:tc>
              <w:tc>
                <w:tcPr>
                  <w:tcW w:w="709"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危险废物代码</w:t>
                  </w:r>
                </w:p>
              </w:tc>
              <w:tc>
                <w:tcPr>
                  <w:tcW w:w="384"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位置</w:t>
                  </w:r>
                </w:p>
              </w:tc>
              <w:tc>
                <w:tcPr>
                  <w:tcW w:w="406"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占地面积</w:t>
                  </w:r>
                </w:p>
              </w:tc>
              <w:tc>
                <w:tcPr>
                  <w:tcW w:w="458"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贮存方式</w:t>
                  </w:r>
                </w:p>
              </w:tc>
              <w:tc>
                <w:tcPr>
                  <w:tcW w:w="559"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贮存能力</w:t>
                  </w:r>
                </w:p>
              </w:tc>
              <w:tc>
                <w:tcPr>
                  <w:tcW w:w="477" w:type="pc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贮存周期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529" w:type="pct"/>
                  <w:vMerge w:val="restart"/>
                  <w:vAlign w:val="center"/>
                </w:tcPr>
                <w:p>
                  <w:pPr>
                    <w:pStyle w:val="37"/>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危废贮存库</w:t>
                  </w:r>
                </w:p>
              </w:tc>
              <w:tc>
                <w:tcPr>
                  <w:tcW w:w="661" w:type="pct"/>
                  <w:vAlign w:val="center"/>
                </w:tcPr>
                <w:p>
                  <w:pPr>
                    <w:pStyle w:val="98"/>
                    <w:rPr>
                      <w:rFonts w:cs="Times New Roman"/>
                      <w:color w:val="auto"/>
                    </w:rPr>
                  </w:pPr>
                  <w:r>
                    <w:rPr>
                      <w:rFonts w:hint="eastAsia"/>
                      <w:color w:val="auto"/>
                    </w:rPr>
                    <w:t>废活性炭</w:t>
                  </w:r>
                </w:p>
              </w:tc>
              <w:tc>
                <w:tcPr>
                  <w:tcW w:w="517" w:type="pct"/>
                  <w:vAlign w:val="center"/>
                </w:tcPr>
                <w:p>
                  <w:pPr>
                    <w:pStyle w:val="98"/>
                    <w:rPr>
                      <w:rFonts w:cs="Times New Roman"/>
                      <w:color w:val="auto"/>
                    </w:rPr>
                  </w:pPr>
                  <w:r>
                    <w:rPr>
                      <w:rFonts w:hint="eastAsia"/>
                      <w:color w:val="auto"/>
                    </w:rPr>
                    <w:t>HW49</w:t>
                  </w:r>
                </w:p>
              </w:tc>
              <w:tc>
                <w:tcPr>
                  <w:tcW w:w="709" w:type="pct"/>
                  <w:vAlign w:val="center"/>
                </w:tcPr>
                <w:p>
                  <w:pPr>
                    <w:pStyle w:val="98"/>
                    <w:rPr>
                      <w:rFonts w:cs="Times New Roman"/>
                      <w:color w:val="auto"/>
                    </w:rPr>
                  </w:pPr>
                  <w:r>
                    <w:rPr>
                      <w:rFonts w:hint="eastAsia"/>
                      <w:color w:val="auto"/>
                    </w:rPr>
                    <w:t>900-039-49</w:t>
                  </w:r>
                </w:p>
              </w:tc>
              <w:tc>
                <w:tcPr>
                  <w:tcW w:w="384" w:type="pct"/>
                  <w:vMerge w:val="restart"/>
                  <w:vAlign w:val="center"/>
                </w:tcPr>
                <w:p>
                  <w:pPr>
                    <w:pStyle w:val="37"/>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一层厂房南侧</w:t>
                  </w:r>
                </w:p>
              </w:tc>
              <w:tc>
                <w:tcPr>
                  <w:tcW w:w="406" w:type="pct"/>
                  <w:vMerge w:val="restart"/>
                  <w:vAlign w:val="center"/>
                </w:tcPr>
                <w:p>
                  <w:pPr>
                    <w:pStyle w:val="37"/>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10m</w:t>
                  </w:r>
                  <w:r>
                    <w:rPr>
                      <w:rFonts w:hint="eastAsia" w:ascii="Times New Roman" w:hAnsi="Times New Roman" w:cs="Times New Roman"/>
                      <w:color w:val="auto"/>
                      <w:sz w:val="21"/>
                      <w:szCs w:val="21"/>
                      <w:vertAlign w:val="superscript"/>
                      <w:lang w:val="en-US" w:eastAsia="zh-CN"/>
                    </w:rPr>
                    <w:t>2</w:t>
                  </w:r>
                </w:p>
              </w:tc>
              <w:tc>
                <w:tcPr>
                  <w:tcW w:w="458" w:type="pct"/>
                  <w:vMerge w:val="restart"/>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桶装，托盘</w:t>
                  </w:r>
                </w:p>
              </w:tc>
              <w:tc>
                <w:tcPr>
                  <w:tcW w:w="559" w:type="pct"/>
                  <w:vAlign w:val="center"/>
                </w:tcPr>
                <w:p>
                  <w:pPr>
                    <w:pStyle w:val="37"/>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0.5</w:t>
                  </w:r>
                  <w:r>
                    <w:rPr>
                      <w:rFonts w:ascii="Times New Roman" w:hAnsi="Times New Roman" w:cs="Times New Roman"/>
                      <w:color w:val="auto"/>
                      <w:sz w:val="21"/>
                      <w:szCs w:val="21"/>
                    </w:rPr>
                    <w:t>t</w:t>
                  </w:r>
                </w:p>
              </w:tc>
              <w:tc>
                <w:tcPr>
                  <w:tcW w:w="477" w:type="pct"/>
                  <w:vMerge w:val="restart"/>
                  <w:vAlign w:val="center"/>
                </w:tcPr>
                <w:p>
                  <w:pPr>
                    <w:pStyle w:val="98"/>
                    <w:rPr>
                      <w:rFonts w:hint="eastAsia" w:eastAsia="宋体" w:cs="Times New Roman"/>
                      <w:color w:val="auto"/>
                      <w:lang w:val="en-US" w:eastAsia="zh-CN"/>
                    </w:rPr>
                  </w:pPr>
                  <w:r>
                    <w:rPr>
                      <w:rFonts w:hint="eastAsia" w:cs="Times New Roman"/>
                      <w:color w:val="auto"/>
                      <w:lang w:val="en-US" w:eastAsia="zh-CN"/>
                    </w:rPr>
                    <w:t>每半年转运一次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529" w:type="pct"/>
                  <w:vMerge w:val="continue"/>
                  <w:vAlign w:val="center"/>
                </w:tcPr>
                <w:p>
                  <w:pPr>
                    <w:pStyle w:val="37"/>
                    <w:jc w:val="center"/>
                    <w:rPr>
                      <w:rFonts w:ascii="Times New Roman" w:hAnsi="Times New Roman" w:cs="Times New Roman"/>
                      <w:color w:val="auto"/>
                      <w:sz w:val="21"/>
                      <w:szCs w:val="21"/>
                    </w:rPr>
                  </w:pPr>
                </w:p>
              </w:tc>
              <w:tc>
                <w:tcPr>
                  <w:tcW w:w="661" w:type="pct"/>
                  <w:vAlign w:val="center"/>
                </w:tcPr>
                <w:p>
                  <w:pPr>
                    <w:pStyle w:val="98"/>
                    <w:rPr>
                      <w:rFonts w:cs="Times New Roman"/>
                      <w:color w:val="auto"/>
                    </w:rPr>
                  </w:pPr>
                  <w:r>
                    <w:rPr>
                      <w:rFonts w:hint="eastAsia"/>
                      <w:color w:val="auto"/>
                      <w:lang w:val="en-US" w:eastAsia="zh-CN"/>
                    </w:rPr>
                    <w:t>废过滤棉</w:t>
                  </w:r>
                </w:p>
              </w:tc>
              <w:tc>
                <w:tcPr>
                  <w:tcW w:w="517" w:type="pct"/>
                  <w:vAlign w:val="center"/>
                </w:tcPr>
                <w:p>
                  <w:pPr>
                    <w:pStyle w:val="98"/>
                    <w:rPr>
                      <w:rFonts w:cs="Times New Roman"/>
                      <w:color w:val="auto"/>
                    </w:rPr>
                  </w:pPr>
                  <w:r>
                    <w:rPr>
                      <w:rFonts w:hint="eastAsia"/>
                      <w:color w:val="auto"/>
                    </w:rPr>
                    <w:t>HW49</w:t>
                  </w:r>
                </w:p>
              </w:tc>
              <w:tc>
                <w:tcPr>
                  <w:tcW w:w="709" w:type="pct"/>
                  <w:vAlign w:val="center"/>
                </w:tcPr>
                <w:p>
                  <w:pPr>
                    <w:pStyle w:val="98"/>
                    <w:rPr>
                      <w:rFonts w:cs="Times New Roman"/>
                      <w:color w:val="auto"/>
                    </w:rPr>
                  </w:pPr>
                  <w:r>
                    <w:rPr>
                      <w:rFonts w:hint="eastAsia"/>
                      <w:color w:val="auto"/>
                      <w:lang w:val="en-US" w:eastAsia="zh-CN"/>
                    </w:rPr>
                    <w:t>900-047-49</w:t>
                  </w:r>
                </w:p>
              </w:tc>
              <w:tc>
                <w:tcPr>
                  <w:tcW w:w="384" w:type="pct"/>
                  <w:vMerge w:val="continue"/>
                  <w:vAlign w:val="center"/>
                </w:tcPr>
                <w:p>
                  <w:pPr>
                    <w:pStyle w:val="37"/>
                    <w:jc w:val="center"/>
                    <w:rPr>
                      <w:rFonts w:ascii="Times New Roman" w:hAnsi="Times New Roman" w:cs="Times New Roman"/>
                      <w:color w:val="auto"/>
                      <w:sz w:val="21"/>
                      <w:szCs w:val="21"/>
                    </w:rPr>
                  </w:pPr>
                </w:p>
              </w:tc>
              <w:tc>
                <w:tcPr>
                  <w:tcW w:w="406" w:type="pct"/>
                  <w:vMerge w:val="continue"/>
                  <w:vAlign w:val="center"/>
                </w:tcPr>
                <w:p>
                  <w:pPr>
                    <w:pStyle w:val="37"/>
                    <w:jc w:val="center"/>
                    <w:rPr>
                      <w:rFonts w:ascii="Times New Roman" w:hAnsi="Times New Roman" w:cs="Times New Roman"/>
                      <w:color w:val="auto"/>
                      <w:sz w:val="21"/>
                      <w:szCs w:val="21"/>
                    </w:rPr>
                  </w:pPr>
                </w:p>
              </w:tc>
              <w:tc>
                <w:tcPr>
                  <w:tcW w:w="458" w:type="pct"/>
                  <w:vMerge w:val="continue"/>
                  <w:vAlign w:val="center"/>
                </w:tcPr>
                <w:p>
                  <w:pPr>
                    <w:pStyle w:val="37"/>
                    <w:jc w:val="center"/>
                    <w:rPr>
                      <w:rFonts w:ascii="Times New Roman" w:hAnsi="Times New Roman" w:cs="Times New Roman"/>
                      <w:color w:val="auto"/>
                      <w:sz w:val="21"/>
                      <w:szCs w:val="21"/>
                    </w:rPr>
                  </w:pPr>
                </w:p>
              </w:tc>
              <w:tc>
                <w:tcPr>
                  <w:tcW w:w="559" w:type="pct"/>
                  <w:vAlign w:val="center"/>
                </w:tcPr>
                <w:p>
                  <w:pPr>
                    <w:pStyle w:val="37"/>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0.1</w:t>
                  </w:r>
                  <w:r>
                    <w:rPr>
                      <w:rFonts w:hint="eastAsia" w:ascii="Times New Roman" w:hAnsi="Times New Roman" w:cs="Times New Roman"/>
                      <w:color w:val="auto"/>
                      <w:sz w:val="21"/>
                      <w:szCs w:val="21"/>
                    </w:rPr>
                    <w:t>t</w:t>
                  </w:r>
                </w:p>
              </w:tc>
              <w:tc>
                <w:tcPr>
                  <w:tcW w:w="477" w:type="pct"/>
                  <w:vMerge w:val="continue"/>
                  <w:vAlign w:val="center"/>
                </w:tcPr>
                <w:p>
                  <w:pPr>
                    <w:pStyle w:val="98"/>
                    <w:rPr>
                      <w:rFonts w:cs="Times New Roman"/>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529" w:type="pct"/>
                  <w:vMerge w:val="continue"/>
                  <w:vAlign w:val="center"/>
                </w:tcPr>
                <w:p>
                  <w:pPr>
                    <w:pStyle w:val="37"/>
                    <w:jc w:val="center"/>
                    <w:rPr>
                      <w:rFonts w:ascii="Times New Roman" w:hAnsi="Times New Roman" w:cs="Times New Roman"/>
                      <w:color w:val="auto"/>
                      <w:sz w:val="21"/>
                      <w:szCs w:val="21"/>
                    </w:rPr>
                  </w:pPr>
                </w:p>
              </w:tc>
              <w:tc>
                <w:tcPr>
                  <w:tcW w:w="661" w:type="pct"/>
                  <w:vAlign w:val="center"/>
                </w:tcPr>
                <w:p>
                  <w:pPr>
                    <w:pStyle w:val="98"/>
                    <w:rPr>
                      <w:rFonts w:cs="Times New Roman"/>
                      <w:color w:val="auto"/>
                    </w:rPr>
                  </w:pPr>
                  <w:r>
                    <w:rPr>
                      <w:rFonts w:hint="eastAsia"/>
                      <w:color w:val="auto"/>
                    </w:rPr>
                    <w:t>废润滑油</w:t>
                  </w:r>
                </w:p>
              </w:tc>
              <w:tc>
                <w:tcPr>
                  <w:tcW w:w="517" w:type="pct"/>
                  <w:vAlign w:val="center"/>
                </w:tcPr>
                <w:p>
                  <w:pPr>
                    <w:pStyle w:val="98"/>
                    <w:rPr>
                      <w:rFonts w:cs="Times New Roman"/>
                      <w:color w:val="auto"/>
                    </w:rPr>
                  </w:pPr>
                  <w:r>
                    <w:rPr>
                      <w:color w:val="auto"/>
                    </w:rPr>
                    <w:t>HW08</w:t>
                  </w:r>
                </w:p>
              </w:tc>
              <w:tc>
                <w:tcPr>
                  <w:tcW w:w="709" w:type="pct"/>
                  <w:vAlign w:val="center"/>
                </w:tcPr>
                <w:p>
                  <w:pPr>
                    <w:pStyle w:val="98"/>
                    <w:rPr>
                      <w:rFonts w:cs="Times New Roman"/>
                      <w:color w:val="auto"/>
                    </w:rPr>
                  </w:pPr>
                  <w:r>
                    <w:rPr>
                      <w:color w:val="auto"/>
                    </w:rPr>
                    <w:t>900-21</w:t>
                  </w:r>
                  <w:r>
                    <w:rPr>
                      <w:rFonts w:hint="eastAsia"/>
                      <w:color w:val="auto"/>
                    </w:rPr>
                    <w:t>7</w:t>
                  </w:r>
                  <w:r>
                    <w:rPr>
                      <w:color w:val="auto"/>
                    </w:rPr>
                    <w:t>-08</w:t>
                  </w:r>
                </w:p>
              </w:tc>
              <w:tc>
                <w:tcPr>
                  <w:tcW w:w="384" w:type="pct"/>
                  <w:vMerge w:val="continue"/>
                  <w:vAlign w:val="center"/>
                </w:tcPr>
                <w:p>
                  <w:pPr>
                    <w:pStyle w:val="37"/>
                    <w:jc w:val="center"/>
                    <w:rPr>
                      <w:rFonts w:ascii="Times New Roman" w:hAnsi="Times New Roman" w:cs="Times New Roman"/>
                      <w:color w:val="auto"/>
                      <w:sz w:val="21"/>
                      <w:szCs w:val="21"/>
                    </w:rPr>
                  </w:pPr>
                </w:p>
              </w:tc>
              <w:tc>
                <w:tcPr>
                  <w:tcW w:w="406" w:type="pct"/>
                  <w:vMerge w:val="continue"/>
                  <w:vAlign w:val="center"/>
                </w:tcPr>
                <w:p>
                  <w:pPr>
                    <w:pStyle w:val="37"/>
                    <w:jc w:val="center"/>
                    <w:rPr>
                      <w:rFonts w:ascii="Times New Roman" w:hAnsi="Times New Roman" w:cs="Times New Roman"/>
                      <w:color w:val="auto"/>
                      <w:sz w:val="21"/>
                      <w:szCs w:val="21"/>
                    </w:rPr>
                  </w:pPr>
                </w:p>
              </w:tc>
              <w:tc>
                <w:tcPr>
                  <w:tcW w:w="458" w:type="pct"/>
                  <w:vMerge w:val="continue"/>
                  <w:vAlign w:val="center"/>
                </w:tcPr>
                <w:p>
                  <w:pPr>
                    <w:pStyle w:val="37"/>
                    <w:jc w:val="center"/>
                    <w:rPr>
                      <w:rFonts w:ascii="Times New Roman" w:hAnsi="Times New Roman" w:cs="Times New Roman"/>
                      <w:color w:val="auto"/>
                      <w:sz w:val="21"/>
                      <w:szCs w:val="21"/>
                    </w:rPr>
                  </w:pPr>
                </w:p>
              </w:tc>
              <w:tc>
                <w:tcPr>
                  <w:tcW w:w="955" w:type="dxa"/>
                  <w:vAlign w:val="center"/>
                </w:tcPr>
                <w:p>
                  <w:pPr>
                    <w:pStyle w:val="37"/>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1.0</w:t>
                  </w:r>
                  <w:r>
                    <w:rPr>
                      <w:rFonts w:ascii="Times New Roman" w:hAnsi="Times New Roman" w:cs="Times New Roman"/>
                      <w:color w:val="auto"/>
                      <w:sz w:val="21"/>
                      <w:szCs w:val="21"/>
                    </w:rPr>
                    <w:t>t</w:t>
                  </w:r>
                </w:p>
              </w:tc>
              <w:tc>
                <w:tcPr>
                  <w:tcW w:w="477" w:type="pct"/>
                  <w:vMerge w:val="continue"/>
                  <w:vAlign w:val="center"/>
                </w:tcPr>
                <w:p>
                  <w:pPr>
                    <w:pStyle w:val="98"/>
                    <w:rPr>
                      <w:rFonts w:cs="Times New Roman"/>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529" w:type="pct"/>
                  <w:vMerge w:val="continue"/>
                  <w:vAlign w:val="center"/>
                </w:tcPr>
                <w:p>
                  <w:pPr>
                    <w:pStyle w:val="37"/>
                    <w:jc w:val="center"/>
                    <w:rPr>
                      <w:rFonts w:ascii="Times New Roman" w:hAnsi="Times New Roman" w:cs="Times New Roman"/>
                      <w:color w:val="auto"/>
                      <w:sz w:val="21"/>
                      <w:szCs w:val="21"/>
                    </w:rPr>
                  </w:pPr>
                </w:p>
              </w:tc>
              <w:tc>
                <w:tcPr>
                  <w:tcW w:w="661" w:type="pct"/>
                  <w:vAlign w:val="center"/>
                </w:tcPr>
                <w:p>
                  <w:pPr>
                    <w:pStyle w:val="98"/>
                    <w:rPr>
                      <w:rFonts w:cs="Times New Roman"/>
                      <w:color w:val="auto"/>
                    </w:rPr>
                  </w:pPr>
                  <w:r>
                    <w:rPr>
                      <w:rFonts w:hint="eastAsia"/>
                      <w:color w:val="auto"/>
                    </w:rPr>
                    <w:t>废油桶</w:t>
                  </w:r>
                </w:p>
              </w:tc>
              <w:tc>
                <w:tcPr>
                  <w:tcW w:w="517" w:type="pct"/>
                  <w:vAlign w:val="center"/>
                </w:tcPr>
                <w:p>
                  <w:pPr>
                    <w:pStyle w:val="98"/>
                    <w:rPr>
                      <w:rFonts w:cs="Times New Roman"/>
                      <w:color w:val="auto"/>
                    </w:rPr>
                  </w:pPr>
                  <w:r>
                    <w:rPr>
                      <w:color w:val="auto"/>
                    </w:rPr>
                    <w:t>HW</w:t>
                  </w:r>
                  <w:r>
                    <w:rPr>
                      <w:rFonts w:hint="eastAsia"/>
                      <w:color w:val="auto"/>
                    </w:rPr>
                    <w:t>08</w:t>
                  </w:r>
                </w:p>
              </w:tc>
              <w:tc>
                <w:tcPr>
                  <w:tcW w:w="709" w:type="pct"/>
                  <w:vAlign w:val="center"/>
                </w:tcPr>
                <w:p>
                  <w:pPr>
                    <w:pStyle w:val="98"/>
                    <w:rPr>
                      <w:rFonts w:cs="Times New Roman"/>
                      <w:color w:val="auto"/>
                    </w:rPr>
                  </w:pPr>
                  <w:r>
                    <w:rPr>
                      <w:rFonts w:hint="eastAsia"/>
                      <w:color w:val="auto"/>
                    </w:rPr>
                    <w:t>900-041-49</w:t>
                  </w:r>
                </w:p>
              </w:tc>
              <w:tc>
                <w:tcPr>
                  <w:tcW w:w="384" w:type="pct"/>
                  <w:vMerge w:val="continue"/>
                  <w:vAlign w:val="center"/>
                </w:tcPr>
                <w:p>
                  <w:pPr>
                    <w:pStyle w:val="37"/>
                    <w:jc w:val="center"/>
                    <w:rPr>
                      <w:rFonts w:ascii="Times New Roman" w:hAnsi="Times New Roman" w:cs="Times New Roman"/>
                      <w:color w:val="auto"/>
                      <w:sz w:val="21"/>
                      <w:szCs w:val="21"/>
                    </w:rPr>
                  </w:pPr>
                </w:p>
              </w:tc>
              <w:tc>
                <w:tcPr>
                  <w:tcW w:w="406" w:type="pct"/>
                  <w:vMerge w:val="continue"/>
                  <w:vAlign w:val="center"/>
                </w:tcPr>
                <w:p>
                  <w:pPr>
                    <w:pStyle w:val="37"/>
                    <w:jc w:val="center"/>
                    <w:rPr>
                      <w:rFonts w:ascii="Times New Roman" w:hAnsi="Times New Roman" w:cs="Times New Roman"/>
                      <w:color w:val="auto"/>
                      <w:sz w:val="21"/>
                      <w:szCs w:val="21"/>
                    </w:rPr>
                  </w:pPr>
                </w:p>
              </w:tc>
              <w:tc>
                <w:tcPr>
                  <w:tcW w:w="458" w:type="pct"/>
                  <w:vMerge w:val="continue"/>
                  <w:vAlign w:val="center"/>
                </w:tcPr>
                <w:p>
                  <w:pPr>
                    <w:pStyle w:val="37"/>
                    <w:jc w:val="center"/>
                    <w:rPr>
                      <w:rFonts w:ascii="Times New Roman" w:hAnsi="Times New Roman" w:cs="Times New Roman"/>
                      <w:color w:val="auto"/>
                      <w:sz w:val="21"/>
                      <w:szCs w:val="21"/>
                    </w:rPr>
                  </w:pPr>
                </w:p>
              </w:tc>
              <w:tc>
                <w:tcPr>
                  <w:tcW w:w="955" w:type="dxa"/>
                  <w:vAlign w:val="center"/>
                </w:tcPr>
                <w:p>
                  <w:pPr>
                    <w:pStyle w:val="37"/>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0.5</w:t>
                  </w:r>
                  <w:r>
                    <w:rPr>
                      <w:rFonts w:hint="eastAsia" w:ascii="Times New Roman" w:hAnsi="Times New Roman" w:cs="Times New Roman"/>
                      <w:color w:val="auto"/>
                      <w:sz w:val="21"/>
                      <w:szCs w:val="21"/>
                    </w:rPr>
                    <w:t>t</w:t>
                  </w:r>
                </w:p>
              </w:tc>
              <w:tc>
                <w:tcPr>
                  <w:tcW w:w="477" w:type="pct"/>
                  <w:vMerge w:val="continue"/>
                  <w:vAlign w:val="center"/>
                </w:tcPr>
                <w:p>
                  <w:pPr>
                    <w:pStyle w:val="98"/>
                    <w:rPr>
                      <w:rFonts w:cs="Times New Roman"/>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 w:type="pct"/>
                  <w:vAlign w:val="center"/>
                </w:tcPr>
                <w:p>
                  <w:pPr>
                    <w:pStyle w:val="37"/>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529" w:type="pct"/>
                  <w:vMerge w:val="continue"/>
                  <w:vAlign w:val="center"/>
                </w:tcPr>
                <w:p>
                  <w:pPr>
                    <w:pStyle w:val="37"/>
                    <w:jc w:val="center"/>
                    <w:rPr>
                      <w:rFonts w:ascii="Times New Roman" w:hAnsi="Times New Roman" w:cs="Times New Roman"/>
                      <w:color w:val="auto"/>
                      <w:sz w:val="21"/>
                      <w:szCs w:val="21"/>
                    </w:rPr>
                  </w:pPr>
                </w:p>
              </w:tc>
              <w:tc>
                <w:tcPr>
                  <w:tcW w:w="661" w:type="pct"/>
                  <w:vAlign w:val="center"/>
                </w:tcPr>
                <w:p>
                  <w:pPr>
                    <w:pStyle w:val="98"/>
                    <w:rPr>
                      <w:rFonts w:hint="eastAsia" w:eastAsia="宋体"/>
                      <w:color w:val="auto"/>
                      <w:lang w:val="en-US" w:eastAsia="zh-CN"/>
                    </w:rPr>
                  </w:pPr>
                  <w:r>
                    <w:rPr>
                      <w:rFonts w:hint="eastAsia"/>
                      <w:color w:val="auto"/>
                    </w:rPr>
                    <w:t>废含油抹布/手套</w:t>
                  </w:r>
                </w:p>
              </w:tc>
              <w:tc>
                <w:tcPr>
                  <w:tcW w:w="517" w:type="pct"/>
                  <w:vAlign w:val="center"/>
                </w:tcPr>
                <w:p>
                  <w:pPr>
                    <w:pStyle w:val="98"/>
                    <w:rPr>
                      <w:rFonts w:hint="eastAsia"/>
                      <w:color w:val="auto"/>
                    </w:rPr>
                  </w:pPr>
                  <w:r>
                    <w:rPr>
                      <w:rFonts w:hint="eastAsia"/>
                      <w:color w:val="auto"/>
                    </w:rPr>
                    <w:t>HW49</w:t>
                  </w:r>
                </w:p>
              </w:tc>
              <w:tc>
                <w:tcPr>
                  <w:tcW w:w="709" w:type="pct"/>
                  <w:vAlign w:val="center"/>
                </w:tcPr>
                <w:p>
                  <w:pPr>
                    <w:pStyle w:val="98"/>
                    <w:rPr>
                      <w:rFonts w:hint="default" w:eastAsia="宋体"/>
                      <w:color w:val="auto"/>
                      <w:lang w:val="en-US" w:eastAsia="zh-CN"/>
                    </w:rPr>
                  </w:pPr>
                  <w:r>
                    <w:rPr>
                      <w:rFonts w:hint="eastAsia"/>
                      <w:color w:val="auto"/>
                    </w:rPr>
                    <w:t>900-041-49</w:t>
                  </w:r>
                </w:p>
              </w:tc>
              <w:tc>
                <w:tcPr>
                  <w:tcW w:w="384" w:type="pct"/>
                  <w:vMerge w:val="continue"/>
                  <w:vAlign w:val="center"/>
                </w:tcPr>
                <w:p>
                  <w:pPr>
                    <w:pStyle w:val="37"/>
                    <w:jc w:val="center"/>
                    <w:rPr>
                      <w:rFonts w:ascii="Times New Roman" w:hAnsi="Times New Roman" w:cs="Times New Roman"/>
                      <w:color w:val="auto"/>
                      <w:sz w:val="21"/>
                      <w:szCs w:val="21"/>
                    </w:rPr>
                  </w:pPr>
                </w:p>
              </w:tc>
              <w:tc>
                <w:tcPr>
                  <w:tcW w:w="406" w:type="pct"/>
                  <w:vMerge w:val="continue"/>
                  <w:vAlign w:val="center"/>
                </w:tcPr>
                <w:p>
                  <w:pPr>
                    <w:pStyle w:val="37"/>
                    <w:jc w:val="center"/>
                    <w:rPr>
                      <w:rFonts w:ascii="Times New Roman" w:hAnsi="Times New Roman" w:cs="Times New Roman"/>
                      <w:color w:val="auto"/>
                      <w:sz w:val="21"/>
                      <w:szCs w:val="21"/>
                    </w:rPr>
                  </w:pPr>
                </w:p>
              </w:tc>
              <w:tc>
                <w:tcPr>
                  <w:tcW w:w="458" w:type="pct"/>
                  <w:vMerge w:val="continue"/>
                  <w:vAlign w:val="center"/>
                </w:tcPr>
                <w:p>
                  <w:pPr>
                    <w:pStyle w:val="37"/>
                    <w:jc w:val="center"/>
                    <w:rPr>
                      <w:rFonts w:hint="eastAsia" w:ascii="Times New Roman" w:hAnsi="Times New Roman" w:eastAsia="宋体" w:cs="Times New Roman"/>
                      <w:color w:val="auto"/>
                      <w:sz w:val="21"/>
                      <w:szCs w:val="21"/>
                      <w:lang w:val="en-US" w:eastAsia="zh-CN"/>
                    </w:rPr>
                  </w:pPr>
                </w:p>
              </w:tc>
              <w:tc>
                <w:tcPr>
                  <w:tcW w:w="955" w:type="dxa"/>
                  <w:vAlign w:val="center"/>
                </w:tcPr>
                <w:p>
                  <w:pPr>
                    <w:pStyle w:val="37"/>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0.5</w:t>
                  </w:r>
                  <w:r>
                    <w:rPr>
                      <w:rFonts w:ascii="Times New Roman" w:hAnsi="Times New Roman" w:cs="Times New Roman"/>
                      <w:color w:val="auto"/>
                      <w:sz w:val="21"/>
                      <w:szCs w:val="21"/>
                    </w:rPr>
                    <w:t>t</w:t>
                  </w:r>
                </w:p>
              </w:tc>
              <w:tc>
                <w:tcPr>
                  <w:tcW w:w="477" w:type="pct"/>
                  <w:vMerge w:val="continue"/>
                  <w:vAlign w:val="center"/>
                </w:tcPr>
                <w:p>
                  <w:pPr>
                    <w:pStyle w:val="98"/>
                    <w:rPr>
                      <w:rFonts w:cs="Times New Roman"/>
                      <w:color w:val="auto"/>
                    </w:rPr>
                  </w:pPr>
                </w:p>
              </w:tc>
            </w:tr>
          </w:tbl>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rFonts w:hint="eastAsia"/>
                <w:color w:val="auto"/>
                <w:sz w:val="24"/>
                <w:szCs w:val="24"/>
              </w:rPr>
              <w:t>③</w:t>
            </w:r>
            <w:r>
              <w:rPr>
                <w:rFonts w:hint="eastAsia"/>
                <w:color w:val="auto"/>
                <w:sz w:val="24"/>
                <w:szCs w:val="24"/>
                <w:lang w:eastAsia="zh-CN"/>
              </w:rPr>
              <w:t>危废贮存库</w:t>
            </w:r>
            <w:r>
              <w:rPr>
                <w:color w:val="auto"/>
                <w:sz w:val="24"/>
                <w:szCs w:val="24"/>
              </w:rPr>
              <w:t>建设要求</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本项目</w:t>
            </w:r>
            <w:r>
              <w:rPr>
                <w:rFonts w:hint="eastAsia"/>
                <w:color w:val="auto"/>
                <w:sz w:val="24"/>
                <w:szCs w:val="24"/>
              </w:rPr>
              <w:t>拟在</w:t>
            </w:r>
            <w:r>
              <w:rPr>
                <w:rFonts w:hint="eastAsia"/>
                <w:color w:val="auto"/>
                <w:sz w:val="24"/>
                <w:szCs w:val="24"/>
                <w:lang w:val="en-US" w:eastAsia="zh-CN"/>
              </w:rPr>
              <w:t>一层厂房南侧</w:t>
            </w:r>
            <w:r>
              <w:rPr>
                <w:rFonts w:hint="eastAsia"/>
                <w:color w:val="auto"/>
                <w:sz w:val="24"/>
                <w:szCs w:val="24"/>
              </w:rPr>
              <w:t>新建</w:t>
            </w:r>
            <w:r>
              <w:rPr>
                <w:rFonts w:hint="eastAsia"/>
                <w:color w:val="auto"/>
                <w:sz w:val="24"/>
                <w:szCs w:val="24"/>
                <w:lang w:eastAsia="zh-CN"/>
              </w:rPr>
              <w:t>危废贮存库</w:t>
            </w:r>
            <w:r>
              <w:rPr>
                <w:color w:val="auto"/>
                <w:sz w:val="24"/>
                <w:szCs w:val="24"/>
              </w:rPr>
              <w:t>，建设面积</w:t>
            </w:r>
            <w:r>
              <w:rPr>
                <w:rFonts w:hint="eastAsia"/>
                <w:color w:val="auto"/>
                <w:sz w:val="24"/>
                <w:szCs w:val="24"/>
                <w:lang w:val="en-US" w:eastAsia="zh-CN"/>
              </w:rPr>
              <w:t>1</w:t>
            </w:r>
            <w:r>
              <w:rPr>
                <w:rFonts w:hint="eastAsia"/>
                <w:color w:val="auto"/>
                <w:sz w:val="24"/>
                <w:szCs w:val="24"/>
              </w:rPr>
              <w:t>0</w:t>
            </w:r>
            <w:r>
              <w:rPr>
                <w:color w:val="auto"/>
                <w:sz w:val="24"/>
                <w:szCs w:val="24"/>
              </w:rPr>
              <w:t>m</w:t>
            </w:r>
            <w:r>
              <w:rPr>
                <w:color w:val="auto"/>
                <w:sz w:val="24"/>
                <w:szCs w:val="24"/>
                <w:vertAlign w:val="superscript"/>
              </w:rPr>
              <w:t>2</w:t>
            </w:r>
            <w:r>
              <w:rPr>
                <w:color w:val="auto"/>
                <w:sz w:val="24"/>
                <w:szCs w:val="24"/>
              </w:rPr>
              <w:t>，</w:t>
            </w:r>
            <w:r>
              <w:rPr>
                <w:rFonts w:hint="eastAsia"/>
                <w:color w:val="auto"/>
                <w:sz w:val="24"/>
                <w:szCs w:val="24"/>
                <w:lang w:eastAsia="zh-CN"/>
              </w:rPr>
              <w:t>危废贮存库</w:t>
            </w:r>
            <w:r>
              <w:rPr>
                <w:color w:val="auto"/>
                <w:sz w:val="24"/>
                <w:szCs w:val="24"/>
              </w:rPr>
              <w:t>应严格按照《危险废物贮存污染控制标准》（GB18597-20</w:t>
            </w:r>
            <w:r>
              <w:rPr>
                <w:rFonts w:hint="eastAsia"/>
                <w:color w:val="auto"/>
                <w:sz w:val="24"/>
                <w:szCs w:val="24"/>
              </w:rPr>
              <w:t>23</w:t>
            </w:r>
            <w:r>
              <w:rPr>
                <w:color w:val="auto"/>
                <w:sz w:val="24"/>
                <w:szCs w:val="24"/>
              </w:rPr>
              <w:t>）的相关要求建设，具体建设要求如下：</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w:t>
            </w:r>
            <w:r>
              <w:rPr>
                <w:rFonts w:hint="eastAsia"/>
                <w:color w:val="auto"/>
                <w:sz w:val="24"/>
                <w:szCs w:val="24"/>
                <w:lang w:val="en-US" w:eastAsia="zh-CN"/>
              </w:rPr>
              <w:t>采取必要的防风、防晒、防雨、防漏、防渗、防腐等措施，不应露天堆放污染物</w:t>
            </w:r>
            <w:r>
              <w:rPr>
                <w:color w:val="auto"/>
                <w:sz w:val="24"/>
                <w:szCs w:val="24"/>
              </w:rPr>
              <w:t>，并按要求张贴警示标识；</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rFonts w:hint="eastAsia"/>
                <w:color w:val="auto"/>
                <w:sz w:val="24"/>
                <w:szCs w:val="24"/>
                <w:lang w:val="en-US" w:eastAsia="zh-CN"/>
              </w:rPr>
            </w:pPr>
            <w:r>
              <w:rPr>
                <w:color w:val="auto"/>
                <w:sz w:val="24"/>
                <w:szCs w:val="24"/>
              </w:rPr>
              <w:t>√</w:t>
            </w:r>
            <w:r>
              <w:rPr>
                <w:rFonts w:hint="eastAsia"/>
                <w:color w:val="auto"/>
                <w:sz w:val="24"/>
                <w:szCs w:val="24"/>
                <w:lang w:val="en-US" w:eastAsia="zh-CN"/>
              </w:rPr>
              <w:t>贮存设施应根据危险废物的类别、数量、形态、物理化学性质和污染防治等要求设置必要的贮存分区，避免不相容的危险废物接触、混合；</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rFonts w:hint="eastAsia"/>
                <w:color w:val="auto"/>
                <w:sz w:val="24"/>
                <w:szCs w:val="24"/>
                <w:lang w:val="en-US" w:eastAsia="zh-CN"/>
              </w:rPr>
            </w:pPr>
            <w:r>
              <w:rPr>
                <w:color w:val="auto"/>
                <w:sz w:val="24"/>
                <w:szCs w:val="24"/>
              </w:rPr>
              <w:t>√</w:t>
            </w:r>
            <w:r>
              <w:rPr>
                <w:rFonts w:hint="eastAsia"/>
                <w:color w:val="auto"/>
                <w:sz w:val="24"/>
                <w:szCs w:val="24"/>
                <w:lang w:val="en-US" w:eastAsia="zh-CN"/>
              </w:rPr>
              <w:t>贮存设施或贮存分区内地面、墙面裙脚、堵截泄漏的围堰、接触危险废物的隔板和墙体等应采用坚固的材料建造，表面无裂缝；</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rFonts w:hint="eastAsia"/>
                <w:color w:val="auto"/>
                <w:sz w:val="24"/>
                <w:szCs w:val="24"/>
                <w:lang w:val="en-US" w:eastAsia="zh-CN"/>
              </w:rPr>
            </w:pPr>
            <w:r>
              <w:rPr>
                <w:color w:val="auto"/>
                <w:sz w:val="24"/>
                <w:szCs w:val="24"/>
              </w:rPr>
              <w:t>√</w:t>
            </w:r>
            <w:r>
              <w:rPr>
                <w:rFonts w:hint="eastAsia"/>
                <w:color w:val="auto"/>
                <w:sz w:val="24"/>
                <w:szCs w:val="24"/>
                <w:lang w:val="en-US" w:eastAsia="zh-CN"/>
              </w:rPr>
              <w:t>贮存设施地面与裙角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color w:val="auto"/>
                <w:sz w:val="24"/>
                <w:szCs w:val="24"/>
              </w:rPr>
              <w:t>1m厚粘土层（渗透系数≤10</w:t>
            </w:r>
            <w:r>
              <w:rPr>
                <w:color w:val="auto"/>
                <w:sz w:val="24"/>
                <w:szCs w:val="24"/>
                <w:vertAlign w:val="superscript"/>
              </w:rPr>
              <w:t>-7</w:t>
            </w:r>
            <w:r>
              <w:rPr>
                <w:color w:val="auto"/>
                <w:sz w:val="24"/>
                <w:szCs w:val="24"/>
              </w:rPr>
              <w:t>cm/s），或2mm厚高密度聚乙烯，或至少2mm厚</w:t>
            </w:r>
            <w:r>
              <w:rPr>
                <w:rFonts w:hint="eastAsia"/>
                <w:color w:val="auto"/>
                <w:sz w:val="24"/>
                <w:szCs w:val="24"/>
                <w:lang w:eastAsia="zh-CN"/>
              </w:rPr>
              <w:t>的其他</w:t>
            </w:r>
            <w:r>
              <w:rPr>
                <w:color w:val="auto"/>
                <w:sz w:val="24"/>
                <w:szCs w:val="24"/>
              </w:rPr>
              <w:t>人工材料，渗透系数≤10</w:t>
            </w:r>
            <w:r>
              <w:rPr>
                <w:color w:val="auto"/>
                <w:sz w:val="24"/>
                <w:szCs w:val="24"/>
                <w:vertAlign w:val="superscript"/>
              </w:rPr>
              <w:t>-10</w:t>
            </w:r>
            <w:r>
              <w:rPr>
                <w:color w:val="auto"/>
                <w:sz w:val="24"/>
                <w:szCs w:val="24"/>
              </w:rPr>
              <w:t>cm/s</w:t>
            </w:r>
            <w:r>
              <w:rPr>
                <w:rFonts w:hint="eastAsia"/>
                <w:color w:val="auto"/>
                <w:sz w:val="24"/>
                <w:szCs w:val="24"/>
                <w:lang w:eastAsia="zh-CN"/>
              </w:rPr>
              <w:t>，</w:t>
            </w:r>
            <w:r>
              <w:rPr>
                <w:rFonts w:hint="eastAsia"/>
                <w:color w:val="auto"/>
                <w:sz w:val="24"/>
                <w:szCs w:val="24"/>
                <w:lang w:val="en-US" w:eastAsia="zh-CN"/>
              </w:rPr>
              <w:t>或其他防渗性能等效的材料；</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rFonts w:hint="eastAsia"/>
                <w:color w:val="auto"/>
                <w:sz w:val="24"/>
                <w:szCs w:val="24"/>
                <w:lang w:val="en-US" w:eastAsia="zh-CN"/>
              </w:rPr>
            </w:pPr>
            <w:r>
              <w:rPr>
                <w:color w:val="auto"/>
                <w:sz w:val="24"/>
                <w:szCs w:val="24"/>
              </w:rPr>
              <w:t>√</w:t>
            </w:r>
            <w:r>
              <w:rPr>
                <w:rFonts w:hint="eastAsia"/>
                <w:color w:val="auto"/>
                <w:sz w:val="24"/>
                <w:szCs w:val="24"/>
                <w:lang w:val="en-US" w:eastAsia="zh-CN"/>
              </w:rPr>
              <w:t>同一贮存设施宜采用相同的防渗、防腐工艺（包括防渗、防腐结构或材料），防渗、防腐材料应覆盖所有可能与废物及其渗滤液、渗漏液等接触的构筑物表面；采用不同防渗、防腐工艺应分别建设贮存分区；</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rFonts w:hint="eastAsia"/>
                <w:color w:val="auto"/>
                <w:sz w:val="24"/>
                <w:szCs w:val="24"/>
                <w:lang w:val="en-US" w:eastAsia="zh-CN"/>
              </w:rPr>
            </w:pPr>
            <w:r>
              <w:rPr>
                <w:color w:val="auto"/>
                <w:sz w:val="24"/>
                <w:szCs w:val="24"/>
              </w:rPr>
              <w:t>√</w:t>
            </w:r>
            <w:r>
              <w:rPr>
                <w:rFonts w:hint="eastAsia"/>
                <w:color w:val="auto"/>
                <w:sz w:val="24"/>
                <w:szCs w:val="24"/>
                <w:lang w:val="en-US" w:eastAsia="zh-CN"/>
              </w:rPr>
              <w:t>贮存设施应采取技术和管理措施防止无关人员进入；</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w:t>
            </w:r>
            <w:r>
              <w:rPr>
                <w:rFonts w:hint="eastAsia"/>
                <w:color w:val="auto"/>
                <w:sz w:val="24"/>
                <w:szCs w:val="24"/>
                <w:lang w:val="en-US" w:eastAsia="zh-CN"/>
              </w:rPr>
              <w:t>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设施容积应满足渗滤液的收集要求</w:t>
            </w:r>
            <w:r>
              <w:rPr>
                <w:color w:val="auto"/>
                <w:sz w:val="24"/>
                <w:szCs w:val="24"/>
              </w:rPr>
              <w:t>。</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②危险废物管理要求</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√建立台账管理制度，需注明危险废物的名称、来源、数量、特征和包装容器的类别、入库时间、出库日期及处理单位名称等；</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w:t>
            </w:r>
            <w:r>
              <w:rPr>
                <w:rFonts w:hint="eastAsia"/>
                <w:color w:val="auto"/>
                <w:sz w:val="24"/>
                <w:szCs w:val="24"/>
                <w:lang w:eastAsia="zh-CN"/>
              </w:rPr>
              <w:t>危废贮存库</w:t>
            </w:r>
            <w:r>
              <w:rPr>
                <w:color w:val="auto"/>
                <w:sz w:val="24"/>
                <w:szCs w:val="24"/>
              </w:rPr>
              <w:t>设立明显的危险废物标志，贮存期限不得超过国家规定；</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√定期对所贮存的危险废物包装容器及贮存设施进行检查，发现破损，应及时采取措施清理更换；</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√应建立危险废物申报和转移联单，各项手续应符合国家和当地环保部门要求。</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由本项目固体废物产生及处置情况可知，项目产生的固废均根据其特性和分类得到合理处置，符合国家对固体废物处理的“减量化、资源化和无害化”的政策和原则，可实现其对环境的影响降到较低限度的目标。</w:t>
            </w:r>
          </w:p>
          <w:p>
            <w:pPr>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只要做好厂区暂存设施的防渗工作，严格按</w:t>
            </w:r>
            <w:r>
              <w:rPr>
                <w:rFonts w:hint="eastAsia"/>
                <w:color w:val="auto"/>
                <w:sz w:val="24"/>
                <w:szCs w:val="24"/>
              </w:rPr>
              <w:t>照</w:t>
            </w:r>
            <w:r>
              <w:rPr>
                <w:color w:val="auto"/>
                <w:sz w:val="24"/>
                <w:szCs w:val="24"/>
              </w:rPr>
              <w:t>《</w:t>
            </w:r>
            <w:r>
              <w:rPr>
                <w:rFonts w:hint="eastAsia"/>
                <w:color w:val="auto"/>
                <w:sz w:val="24"/>
                <w:szCs w:val="24"/>
              </w:rPr>
              <w:t>危险废物转移管理办法</w:t>
            </w:r>
            <w:r>
              <w:rPr>
                <w:color w:val="auto"/>
                <w:sz w:val="24"/>
                <w:szCs w:val="24"/>
              </w:rPr>
              <w:t>》（</w:t>
            </w:r>
            <w:r>
              <w:rPr>
                <w:rFonts w:hint="eastAsia"/>
                <w:color w:val="auto"/>
                <w:sz w:val="24"/>
                <w:szCs w:val="24"/>
              </w:rPr>
              <w:t>部令第23号</w:t>
            </w:r>
            <w:r>
              <w:rPr>
                <w:color w:val="auto"/>
                <w:sz w:val="24"/>
                <w:szCs w:val="24"/>
              </w:rPr>
              <w:t>）对其进行收集、贮存、转移及运输，不会对周边环境和运输沿途产生明显不利影响。</w:t>
            </w:r>
          </w:p>
          <w:p>
            <w:pPr>
              <w:pStyle w:val="59"/>
              <w:keepNext w:val="0"/>
              <w:keepLines w:val="0"/>
              <w:pageBreakBefore w:val="0"/>
              <w:widowControl w:val="0"/>
              <w:kinsoku/>
              <w:wordWrap/>
              <w:overflowPunct/>
              <w:topLinePunct w:val="0"/>
              <w:bidi w:val="0"/>
              <w:adjustRightInd w:val="0"/>
              <w:snapToGrid w:val="0"/>
              <w:spacing w:line="360" w:lineRule="auto"/>
              <w:ind w:left="0" w:firstLine="482"/>
              <w:textAlignment w:val="auto"/>
              <w:rPr>
                <w:color w:val="auto"/>
                <w:sz w:val="24"/>
                <w:szCs w:val="24"/>
              </w:rPr>
            </w:pPr>
            <w:r>
              <w:rPr>
                <w:color w:val="auto"/>
                <w:sz w:val="24"/>
                <w:szCs w:val="24"/>
              </w:rPr>
              <w:t>综上所述，本项目固体废物经采取上述治理措施后对周围环境影响较小。</w:t>
            </w:r>
          </w:p>
          <w:p>
            <w:pPr>
              <w:keepNext w:val="0"/>
              <w:keepLines w:val="0"/>
              <w:pageBreakBefore w:val="0"/>
              <w:widowControl w:val="0"/>
              <w:kinsoku/>
              <w:wordWrap/>
              <w:overflowPunct/>
              <w:topLinePunct w:val="0"/>
              <w:bidi w:val="0"/>
              <w:adjustRightInd w:val="0"/>
              <w:snapToGrid w:val="0"/>
              <w:spacing w:line="360" w:lineRule="auto"/>
              <w:ind w:left="0" w:firstLine="482"/>
              <w:contextualSpacing/>
              <w:textAlignment w:val="auto"/>
              <w:rPr>
                <w:b/>
                <w:bCs/>
                <w:color w:val="auto"/>
                <w:sz w:val="24"/>
                <w:szCs w:val="24"/>
              </w:rPr>
            </w:pPr>
            <w:r>
              <w:rPr>
                <w:rFonts w:hint="eastAsia"/>
                <w:b/>
                <w:bCs/>
                <w:color w:val="auto"/>
                <w:sz w:val="24"/>
                <w:szCs w:val="24"/>
                <w:lang w:val="en-US" w:eastAsia="zh-CN"/>
              </w:rPr>
              <w:t>5</w:t>
            </w:r>
            <w:r>
              <w:rPr>
                <w:b/>
                <w:bCs/>
                <w:color w:val="auto"/>
                <w:sz w:val="24"/>
                <w:szCs w:val="24"/>
              </w:rPr>
              <w:t>、</w:t>
            </w:r>
            <w:r>
              <w:rPr>
                <w:rFonts w:hint="eastAsia"/>
                <w:b/>
                <w:bCs/>
                <w:color w:val="auto"/>
                <w:sz w:val="24"/>
                <w:szCs w:val="24"/>
              </w:rPr>
              <w:t>地下水、土壤</w:t>
            </w:r>
          </w:p>
          <w:p>
            <w:pPr>
              <w:spacing w:line="360" w:lineRule="auto"/>
              <w:ind w:firstLine="480"/>
              <w:rPr>
                <w:bCs/>
                <w:color w:val="auto"/>
                <w:sz w:val="24"/>
                <w:szCs w:val="24"/>
              </w:rPr>
            </w:pPr>
            <w:r>
              <w:rPr>
                <w:bCs/>
                <w:color w:val="auto"/>
                <w:sz w:val="24"/>
                <w:szCs w:val="24"/>
              </w:rPr>
              <w:t>本项目</w:t>
            </w:r>
            <w:r>
              <w:rPr>
                <w:rFonts w:hint="eastAsia" w:cs="Times New Roman"/>
                <w:color w:val="auto"/>
                <w:sz w:val="24"/>
                <w:szCs w:val="24"/>
                <w:highlight w:val="none"/>
                <w:lang w:val="en-US" w:eastAsia="zh-CN"/>
              </w:rPr>
              <w:t>租赁</w:t>
            </w:r>
            <w:r>
              <w:rPr>
                <w:rFonts w:hint="eastAsia"/>
                <w:color w:val="auto"/>
                <w:sz w:val="24"/>
                <w:highlight w:val="none"/>
                <w:lang w:val="en-US" w:eastAsia="zh-CN"/>
              </w:rPr>
              <w:t>秦创原（泾河）智造创新产业园一期16号厂房的1层和4层</w:t>
            </w:r>
            <w:r>
              <w:rPr>
                <w:color w:val="auto"/>
                <w:sz w:val="24"/>
                <w:szCs w:val="32"/>
                <w:highlight w:val="none"/>
              </w:rPr>
              <w:t>，</w:t>
            </w:r>
            <w:r>
              <w:rPr>
                <w:bCs/>
                <w:color w:val="auto"/>
                <w:sz w:val="24"/>
                <w:szCs w:val="24"/>
              </w:rPr>
              <w:t>生产区域与土壤无直接接触，</w:t>
            </w:r>
            <w:r>
              <w:rPr>
                <w:rFonts w:hint="eastAsia"/>
                <w:bCs/>
                <w:color w:val="auto"/>
                <w:sz w:val="24"/>
                <w:szCs w:val="24"/>
                <w:lang w:val="en-US" w:eastAsia="zh-CN"/>
              </w:rPr>
              <w:t>厂房外道路均为水泥路面，</w:t>
            </w:r>
            <w:r>
              <w:rPr>
                <w:bCs/>
                <w:color w:val="auto"/>
                <w:sz w:val="24"/>
                <w:szCs w:val="24"/>
              </w:rPr>
              <w:t>对土壤的影响</w:t>
            </w:r>
            <w:r>
              <w:rPr>
                <w:rFonts w:hint="eastAsia"/>
                <w:bCs/>
                <w:color w:val="auto"/>
                <w:sz w:val="24"/>
                <w:szCs w:val="24"/>
                <w:lang w:val="en-US" w:eastAsia="zh-CN"/>
              </w:rPr>
              <w:t>源</w:t>
            </w:r>
            <w:r>
              <w:rPr>
                <w:bCs/>
                <w:color w:val="auto"/>
                <w:sz w:val="24"/>
                <w:szCs w:val="24"/>
              </w:rPr>
              <w:t>主要是</w:t>
            </w:r>
            <w:r>
              <w:rPr>
                <w:rFonts w:hint="eastAsia"/>
                <w:bCs/>
                <w:color w:val="auto"/>
                <w:sz w:val="24"/>
                <w:szCs w:val="24"/>
                <w:lang w:val="en-US" w:eastAsia="zh-CN"/>
              </w:rPr>
              <w:t>危废贮存库事故情况下</w:t>
            </w:r>
            <w:r>
              <w:rPr>
                <w:bCs/>
                <w:color w:val="auto"/>
                <w:sz w:val="24"/>
                <w:szCs w:val="24"/>
              </w:rPr>
              <w:t>影响到土壤和地下水。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rFonts w:hint="eastAsia"/>
                <w:bCs/>
                <w:color w:val="auto"/>
                <w:sz w:val="24"/>
                <w:szCs w:val="24"/>
                <w:lang w:val="en-US" w:eastAsia="zh-CN"/>
              </w:rPr>
              <w:t>危废贮存库</w:t>
            </w:r>
            <w:r>
              <w:rPr>
                <w:color w:val="auto"/>
                <w:sz w:val="24"/>
                <w:szCs w:val="24"/>
              </w:rPr>
              <w:t>严格按照《危险废物贮存污染控制标准》（GB18597-20</w:t>
            </w:r>
            <w:r>
              <w:rPr>
                <w:rFonts w:hint="eastAsia"/>
                <w:color w:val="auto"/>
                <w:sz w:val="24"/>
                <w:szCs w:val="24"/>
              </w:rPr>
              <w:t>23</w:t>
            </w:r>
            <w:r>
              <w:rPr>
                <w:color w:val="auto"/>
                <w:sz w:val="24"/>
                <w:szCs w:val="24"/>
              </w:rPr>
              <w:t>）的相关要求建设，</w:t>
            </w:r>
            <w:r>
              <w:rPr>
                <w:rFonts w:hint="eastAsia"/>
                <w:color w:val="auto"/>
                <w:sz w:val="24"/>
                <w:szCs w:val="24"/>
                <w:lang w:val="en-US" w:eastAsia="zh-CN"/>
              </w:rPr>
              <w:t>防渗措施以及防渗等级达到相应要求，危废管理以及转运均有相应制度以及规程，</w:t>
            </w:r>
            <w:r>
              <w:rPr>
                <w:rFonts w:hint="eastAsia"/>
                <w:color w:val="auto"/>
                <w:sz w:val="24"/>
                <w:szCs w:val="24"/>
              </w:rPr>
              <w:t>只要项目在做好相应防渗漏措施，加强环境管理的基础上，项目运营期不会对地下水、土壤产生明显的不利影响。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lang w:val="en-US" w:eastAsia="zh-CN"/>
              </w:rPr>
              <w:t>6</w:t>
            </w:r>
            <w:r>
              <w:rPr>
                <w:b/>
                <w:bCs/>
                <w:color w:val="auto"/>
                <w:sz w:val="24"/>
                <w:szCs w:val="24"/>
              </w:rPr>
              <w:t xml:space="preserve">、环境风险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24"/>
              </w:rPr>
            </w:pPr>
            <w:r>
              <w:rPr>
                <w:b/>
                <w:bCs/>
                <w:color w:val="auto"/>
                <w:sz w:val="24"/>
                <w:szCs w:val="24"/>
              </w:rPr>
              <w:t>（1）</w:t>
            </w:r>
            <w:r>
              <w:rPr>
                <w:rFonts w:hint="eastAsia"/>
                <w:b/>
                <w:bCs/>
                <w:color w:val="auto"/>
                <w:sz w:val="24"/>
                <w:szCs w:val="24"/>
              </w:rPr>
              <w:t>风险物质识别</w:t>
            </w:r>
            <w:r>
              <w:rPr>
                <w:b/>
                <w:bCs/>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rFonts w:hint="eastAsia"/>
                <w:color w:val="auto"/>
                <w:sz w:val="24"/>
                <w:szCs w:val="24"/>
              </w:rPr>
              <w:t>本项目在库房存放</w:t>
            </w:r>
            <w:r>
              <w:rPr>
                <w:rFonts w:hint="eastAsia"/>
                <w:color w:val="auto"/>
                <w:sz w:val="24"/>
                <w:szCs w:val="24"/>
                <w:lang w:val="en-US" w:eastAsia="zh-CN"/>
              </w:rPr>
              <w:t>建筑玻璃、基板、电致变色中间膜、PVB膜、润滑油</w:t>
            </w:r>
            <w:r>
              <w:rPr>
                <w:rFonts w:hint="eastAsia"/>
                <w:color w:val="auto"/>
                <w:sz w:val="24"/>
                <w:szCs w:val="24"/>
              </w:rPr>
              <w:t>，在</w:t>
            </w:r>
            <w:r>
              <w:rPr>
                <w:rFonts w:hint="eastAsia"/>
                <w:color w:val="auto"/>
                <w:sz w:val="24"/>
                <w:szCs w:val="24"/>
                <w:lang w:eastAsia="zh-CN"/>
              </w:rPr>
              <w:t>危废贮存库</w:t>
            </w:r>
            <w:r>
              <w:rPr>
                <w:rFonts w:hint="eastAsia"/>
                <w:color w:val="auto"/>
                <w:sz w:val="24"/>
                <w:szCs w:val="24"/>
              </w:rPr>
              <w:t>存放</w:t>
            </w:r>
            <w:r>
              <w:rPr>
                <w:rFonts w:hint="eastAsia"/>
                <w:color w:val="auto"/>
                <w:sz w:val="24"/>
                <w:szCs w:val="24"/>
                <w:lang w:val="en-US" w:eastAsia="zh-CN"/>
              </w:rPr>
              <w:t>废润滑油、废活性炭</w:t>
            </w:r>
            <w:r>
              <w:rPr>
                <w:rFonts w:hint="eastAsia"/>
                <w:color w:val="auto"/>
                <w:sz w:val="24"/>
                <w:szCs w:val="24"/>
              </w:rPr>
              <w:t>等危险废物。</w:t>
            </w:r>
            <w:r>
              <w:rPr>
                <w:color w:val="auto"/>
                <w:sz w:val="24"/>
                <w:szCs w:val="24"/>
              </w:rPr>
              <w:t>经查询《建设项目环境风险评价技术导则》（HJ169-2018）附录B表B.1、《化学品分类和标签规范 第18部分：急性毒性》（GB30000.18-2013）及危险化学品重大危险源辨识（GB18218-2018），本项目所使用的原辅料不存在相关突发环境事件风险物质及急性毒性物质。本项目涉及的环境风险危险品</w:t>
            </w:r>
            <w:r>
              <w:rPr>
                <w:rFonts w:hint="eastAsia"/>
                <w:color w:val="auto"/>
                <w:sz w:val="24"/>
                <w:szCs w:val="24"/>
              </w:rPr>
              <w:t>为</w:t>
            </w:r>
            <w:r>
              <w:rPr>
                <w:rFonts w:hint="eastAsia"/>
                <w:color w:val="auto"/>
                <w:sz w:val="24"/>
                <w:szCs w:val="24"/>
                <w:lang w:val="en-US" w:eastAsia="zh-CN"/>
              </w:rPr>
              <w:t>润滑油、废润滑油</w:t>
            </w:r>
            <w:r>
              <w:rPr>
                <w:rFonts w:hint="eastAsia"/>
                <w:color w:val="auto"/>
                <w:sz w:val="24"/>
                <w:szCs w:val="24"/>
              </w:rPr>
              <w:t>等油类物质。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24"/>
              </w:rPr>
            </w:pPr>
            <w:r>
              <w:rPr>
                <w:rFonts w:hint="eastAsia"/>
                <w:b/>
                <w:bCs/>
                <w:color w:val="auto"/>
                <w:sz w:val="24"/>
                <w:szCs w:val="24"/>
              </w:rPr>
              <w:t>（2）风险潜势判定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sz w:val="24"/>
                <w:szCs w:val="24"/>
              </w:rPr>
              <w:t>临界量及实际最大储存量见</w:t>
            </w:r>
            <w:r>
              <w:rPr>
                <w:rFonts w:hint="eastAsia"/>
                <w:color w:val="auto"/>
                <w:sz w:val="24"/>
                <w:szCs w:val="24"/>
              </w:rPr>
              <w:t>表4-1</w:t>
            </w:r>
            <w:r>
              <w:rPr>
                <w:rFonts w:hint="eastAsia"/>
                <w:color w:val="auto"/>
                <w:sz w:val="24"/>
                <w:szCs w:val="24"/>
                <w:lang w:val="en-US" w:eastAsia="zh-CN"/>
              </w:rPr>
              <w:t>5</w:t>
            </w:r>
            <w:r>
              <w:rPr>
                <w:color w:val="auto"/>
                <w:sz w:val="24"/>
                <w:szCs w:val="24"/>
              </w:rPr>
              <w:t>。</w:t>
            </w:r>
          </w:p>
          <w:p>
            <w:pPr>
              <w:widowControl/>
              <w:spacing w:line="240" w:lineRule="auto"/>
              <w:ind w:firstLine="0" w:firstLineChars="0"/>
              <w:jc w:val="center"/>
              <w:rPr>
                <w:color w:val="auto"/>
                <w:sz w:val="21"/>
                <w:szCs w:val="21"/>
              </w:rPr>
            </w:pPr>
            <w:r>
              <w:rPr>
                <w:b/>
                <w:bCs/>
                <w:color w:val="auto"/>
                <w:kern w:val="0"/>
                <w:sz w:val="21"/>
                <w:szCs w:val="21"/>
                <w:lang w:bidi="ar"/>
              </w:rPr>
              <w:t>表4-</w:t>
            </w:r>
            <w:r>
              <w:rPr>
                <w:rFonts w:hint="eastAsia"/>
                <w:b/>
                <w:bCs/>
                <w:color w:val="auto"/>
                <w:kern w:val="0"/>
                <w:sz w:val="21"/>
                <w:szCs w:val="21"/>
                <w:lang w:bidi="ar"/>
              </w:rPr>
              <w:t>1</w:t>
            </w:r>
            <w:r>
              <w:rPr>
                <w:rFonts w:hint="eastAsia"/>
                <w:b/>
                <w:bCs/>
                <w:color w:val="auto"/>
                <w:kern w:val="0"/>
                <w:sz w:val="21"/>
                <w:szCs w:val="21"/>
                <w:lang w:val="en-US" w:eastAsia="zh-CN" w:bidi="ar"/>
              </w:rPr>
              <w:t>5</w:t>
            </w:r>
            <w:r>
              <w:rPr>
                <w:b/>
                <w:bCs/>
                <w:color w:val="auto"/>
                <w:kern w:val="0"/>
                <w:sz w:val="21"/>
                <w:szCs w:val="21"/>
                <w:lang w:bidi="ar"/>
              </w:rPr>
              <w:t xml:space="preserve"> </w:t>
            </w:r>
            <w:r>
              <w:rPr>
                <w:rFonts w:hint="eastAsia"/>
                <w:b/>
                <w:bCs/>
                <w:color w:val="auto"/>
                <w:kern w:val="0"/>
                <w:sz w:val="21"/>
                <w:szCs w:val="21"/>
                <w:lang w:bidi="ar"/>
              </w:rPr>
              <w:t xml:space="preserve">   </w:t>
            </w:r>
            <w:r>
              <w:rPr>
                <w:b/>
                <w:bCs/>
                <w:color w:val="auto"/>
                <w:kern w:val="0"/>
                <w:sz w:val="21"/>
                <w:szCs w:val="21"/>
                <w:lang w:bidi="ar"/>
              </w:rPr>
              <w:t>危险物质数量与临界量比值表</w:t>
            </w:r>
          </w:p>
          <w:tbl>
            <w:tblPr>
              <w:tblStyle w:val="30"/>
              <w:tblW w:w="838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60"/>
              <w:gridCol w:w="1568"/>
              <w:gridCol w:w="1398"/>
              <w:gridCol w:w="1398"/>
              <w:gridCol w:w="139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pPr>
                    <w:bidi w:val="0"/>
                    <w:jc w:val="center"/>
                    <w:rPr>
                      <w:color w:val="auto"/>
                      <w:sz w:val="21"/>
                      <w:szCs w:val="21"/>
                    </w:rPr>
                  </w:pPr>
                  <w:r>
                    <w:rPr>
                      <w:rFonts w:hint="eastAsia"/>
                      <w:color w:val="auto"/>
                      <w:sz w:val="21"/>
                      <w:szCs w:val="21"/>
                    </w:rPr>
                    <w:t>序号</w:t>
                  </w:r>
                </w:p>
              </w:tc>
              <w:tc>
                <w:tcPr>
                  <w:tcW w:w="1860" w:type="dxa"/>
                  <w:vAlign w:val="center"/>
                </w:tcPr>
                <w:p>
                  <w:pPr>
                    <w:bidi w:val="0"/>
                    <w:jc w:val="center"/>
                    <w:rPr>
                      <w:color w:val="auto"/>
                      <w:sz w:val="21"/>
                      <w:szCs w:val="21"/>
                    </w:rPr>
                  </w:pPr>
                  <w:r>
                    <w:rPr>
                      <w:rFonts w:hint="eastAsia"/>
                      <w:color w:val="auto"/>
                      <w:sz w:val="21"/>
                      <w:szCs w:val="21"/>
                    </w:rPr>
                    <w:t>风险物质名称</w:t>
                  </w:r>
                </w:p>
              </w:tc>
              <w:tc>
                <w:tcPr>
                  <w:tcW w:w="1568" w:type="dxa"/>
                  <w:vAlign w:val="center"/>
                </w:tcPr>
                <w:p>
                  <w:pPr>
                    <w:bidi w:val="0"/>
                    <w:jc w:val="center"/>
                    <w:rPr>
                      <w:color w:val="auto"/>
                      <w:sz w:val="21"/>
                      <w:szCs w:val="21"/>
                    </w:rPr>
                  </w:pPr>
                  <w:r>
                    <w:rPr>
                      <w:rFonts w:hint="eastAsia"/>
                      <w:color w:val="auto"/>
                      <w:sz w:val="21"/>
                      <w:szCs w:val="21"/>
                    </w:rPr>
                    <w:t>危险物质名称</w:t>
                  </w:r>
                </w:p>
              </w:tc>
              <w:tc>
                <w:tcPr>
                  <w:tcW w:w="1398" w:type="dxa"/>
                  <w:vAlign w:val="center"/>
                </w:tcPr>
                <w:p>
                  <w:pPr>
                    <w:bidi w:val="0"/>
                    <w:jc w:val="center"/>
                    <w:rPr>
                      <w:color w:val="auto"/>
                      <w:sz w:val="21"/>
                      <w:szCs w:val="21"/>
                    </w:rPr>
                  </w:pPr>
                  <w:r>
                    <w:rPr>
                      <w:rFonts w:hint="eastAsia"/>
                      <w:color w:val="auto"/>
                      <w:sz w:val="21"/>
                      <w:szCs w:val="21"/>
                    </w:rPr>
                    <w:t>最大存在量/t</w:t>
                  </w:r>
                </w:p>
              </w:tc>
              <w:tc>
                <w:tcPr>
                  <w:tcW w:w="1398" w:type="dxa"/>
                  <w:vAlign w:val="center"/>
                </w:tcPr>
                <w:p>
                  <w:pPr>
                    <w:bidi w:val="0"/>
                    <w:jc w:val="center"/>
                    <w:rPr>
                      <w:color w:val="auto"/>
                      <w:sz w:val="21"/>
                      <w:szCs w:val="21"/>
                    </w:rPr>
                  </w:pPr>
                  <w:r>
                    <w:rPr>
                      <w:rFonts w:hint="eastAsia"/>
                      <w:color w:val="auto"/>
                      <w:sz w:val="21"/>
                      <w:szCs w:val="21"/>
                    </w:rPr>
                    <w:t>临界量/t</w:t>
                  </w:r>
                </w:p>
              </w:tc>
              <w:tc>
                <w:tcPr>
                  <w:tcW w:w="1398" w:type="dxa"/>
                  <w:vAlign w:val="center"/>
                </w:tcPr>
                <w:p>
                  <w:pPr>
                    <w:bidi w:val="0"/>
                    <w:jc w:val="center"/>
                    <w:rPr>
                      <w:color w:val="auto"/>
                      <w:sz w:val="21"/>
                      <w:szCs w:val="21"/>
                    </w:rPr>
                  </w:pPr>
                  <w:r>
                    <w:rPr>
                      <w:rFonts w:hint="eastAsia"/>
                      <w:color w:val="auto"/>
                      <w:sz w:val="21"/>
                      <w:szCs w:val="21"/>
                    </w:rPr>
                    <w:t>Q值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66" w:type="dxa"/>
                  <w:vMerge w:val="restart"/>
                  <w:vAlign w:val="center"/>
                </w:tcPr>
                <w:p>
                  <w:pPr>
                    <w:bidi w:val="0"/>
                    <w:jc w:val="center"/>
                    <w:rPr>
                      <w:color w:val="auto"/>
                      <w:sz w:val="21"/>
                      <w:szCs w:val="21"/>
                    </w:rPr>
                  </w:pPr>
                  <w:r>
                    <w:rPr>
                      <w:rFonts w:hint="eastAsia"/>
                      <w:color w:val="auto"/>
                      <w:sz w:val="21"/>
                      <w:szCs w:val="21"/>
                    </w:rPr>
                    <w:t>1</w:t>
                  </w:r>
                </w:p>
              </w:tc>
              <w:tc>
                <w:tcPr>
                  <w:tcW w:w="1860" w:type="dxa"/>
                  <w:vMerge w:val="restart"/>
                  <w:vAlign w:val="center"/>
                </w:tcPr>
                <w:p>
                  <w:pPr>
                    <w:bidi w:val="0"/>
                    <w:jc w:val="center"/>
                    <w:rPr>
                      <w:color w:val="auto"/>
                      <w:sz w:val="21"/>
                      <w:szCs w:val="21"/>
                    </w:rPr>
                  </w:pPr>
                  <w:r>
                    <w:rPr>
                      <w:rFonts w:hint="eastAsia"/>
                      <w:color w:val="auto"/>
                      <w:sz w:val="21"/>
                      <w:szCs w:val="21"/>
                    </w:rPr>
                    <w:t>润滑油</w:t>
                  </w:r>
                </w:p>
              </w:tc>
              <w:tc>
                <w:tcPr>
                  <w:tcW w:w="1568" w:type="dxa"/>
                  <w:vMerge w:val="restart"/>
                  <w:vAlign w:val="center"/>
                </w:tcPr>
                <w:p>
                  <w:pPr>
                    <w:bidi w:val="0"/>
                    <w:jc w:val="center"/>
                    <w:rPr>
                      <w:color w:val="auto"/>
                      <w:sz w:val="21"/>
                      <w:szCs w:val="21"/>
                    </w:rPr>
                  </w:pPr>
                  <w:r>
                    <w:rPr>
                      <w:rFonts w:hint="eastAsia"/>
                      <w:color w:val="auto"/>
                      <w:sz w:val="21"/>
                      <w:szCs w:val="21"/>
                    </w:rPr>
                    <w:t>油类物质</w:t>
                  </w:r>
                </w:p>
              </w:tc>
              <w:tc>
                <w:tcPr>
                  <w:tcW w:w="1398" w:type="dxa"/>
                  <w:vMerge w:val="restart"/>
                  <w:vAlign w:val="center"/>
                </w:tcPr>
                <w:p>
                  <w:pPr>
                    <w:bidi w:val="0"/>
                    <w:jc w:val="center"/>
                    <w:rPr>
                      <w:rFonts w:hint="default" w:eastAsia="宋体"/>
                      <w:color w:val="auto"/>
                      <w:sz w:val="21"/>
                      <w:szCs w:val="21"/>
                      <w:lang w:val="en-US" w:eastAsia="zh-CN"/>
                    </w:rPr>
                  </w:pPr>
                  <w:r>
                    <w:rPr>
                      <w:rFonts w:hint="eastAsia"/>
                      <w:color w:val="auto"/>
                      <w:sz w:val="21"/>
                      <w:szCs w:val="21"/>
                      <w:lang w:val="en-US" w:eastAsia="zh-CN"/>
                    </w:rPr>
                    <w:t>1.0</w:t>
                  </w:r>
                </w:p>
              </w:tc>
              <w:tc>
                <w:tcPr>
                  <w:tcW w:w="1398" w:type="dxa"/>
                  <w:vMerge w:val="restart"/>
                  <w:vAlign w:val="center"/>
                </w:tcPr>
                <w:p>
                  <w:pPr>
                    <w:bidi w:val="0"/>
                    <w:jc w:val="center"/>
                    <w:rPr>
                      <w:rFonts w:hint="default" w:eastAsia="宋体"/>
                      <w:color w:val="auto"/>
                      <w:sz w:val="21"/>
                      <w:szCs w:val="21"/>
                      <w:lang w:val="en-US" w:eastAsia="zh-CN"/>
                    </w:rPr>
                  </w:pPr>
                  <w:r>
                    <w:rPr>
                      <w:rFonts w:hint="eastAsia"/>
                      <w:color w:val="auto"/>
                      <w:sz w:val="21"/>
                      <w:szCs w:val="21"/>
                      <w:lang w:val="en-US" w:eastAsia="zh-CN"/>
                    </w:rPr>
                    <w:t>2500</w:t>
                  </w:r>
                </w:p>
              </w:tc>
              <w:tc>
                <w:tcPr>
                  <w:tcW w:w="1398"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eastAsia" w:cs="Times New Roman"/>
                      <w:i w:val="0"/>
                      <w:iCs w:val="0"/>
                      <w:color w:val="auto"/>
                      <w:kern w:val="0"/>
                      <w:sz w:val="21"/>
                      <w:szCs w:val="21"/>
                      <w:u w:val="none"/>
                      <w:lang w:val="en-US" w:eastAsia="zh-CN" w:bidi="ar"/>
                    </w:rPr>
                    <w:t>0.0004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6" w:type="dxa"/>
                  <w:vAlign w:val="center"/>
                </w:tcPr>
                <w:p>
                  <w:pPr>
                    <w:bidi w:val="0"/>
                    <w:jc w:val="center"/>
                    <w:rPr>
                      <w:color w:val="auto"/>
                      <w:sz w:val="21"/>
                      <w:szCs w:val="21"/>
                    </w:rPr>
                  </w:pPr>
                  <w:r>
                    <w:rPr>
                      <w:rFonts w:hint="eastAsia"/>
                      <w:color w:val="auto"/>
                      <w:sz w:val="21"/>
                      <w:szCs w:val="21"/>
                    </w:rPr>
                    <w:t>4</w:t>
                  </w:r>
                </w:p>
              </w:tc>
              <w:tc>
                <w:tcPr>
                  <w:tcW w:w="1860" w:type="dxa"/>
                  <w:vAlign w:val="center"/>
                </w:tcPr>
                <w:p>
                  <w:pPr>
                    <w:bidi w:val="0"/>
                    <w:jc w:val="center"/>
                    <w:rPr>
                      <w:color w:val="auto"/>
                      <w:sz w:val="21"/>
                      <w:szCs w:val="21"/>
                    </w:rPr>
                  </w:pPr>
                  <w:r>
                    <w:rPr>
                      <w:rFonts w:hint="eastAsia"/>
                      <w:color w:val="auto"/>
                      <w:sz w:val="21"/>
                      <w:szCs w:val="21"/>
                    </w:rPr>
                    <w:t>废润滑油</w:t>
                  </w:r>
                </w:p>
              </w:tc>
              <w:tc>
                <w:tcPr>
                  <w:tcW w:w="1568" w:type="dxa"/>
                  <w:vMerge w:val="continue"/>
                  <w:vAlign w:val="center"/>
                </w:tcPr>
                <w:p>
                  <w:pPr>
                    <w:bidi w:val="0"/>
                    <w:jc w:val="center"/>
                    <w:rPr>
                      <w:color w:val="auto"/>
                      <w:sz w:val="21"/>
                      <w:szCs w:val="21"/>
                    </w:rPr>
                  </w:pPr>
                </w:p>
              </w:tc>
              <w:tc>
                <w:tcPr>
                  <w:tcW w:w="1398" w:type="dxa"/>
                  <w:vAlign w:val="center"/>
                </w:tcPr>
                <w:p>
                  <w:pPr>
                    <w:bidi w:val="0"/>
                    <w:jc w:val="center"/>
                    <w:rPr>
                      <w:rFonts w:hint="default" w:eastAsia="宋体"/>
                      <w:color w:val="auto"/>
                      <w:sz w:val="21"/>
                      <w:szCs w:val="21"/>
                      <w:lang w:val="en-US" w:eastAsia="zh-CN"/>
                    </w:rPr>
                  </w:pPr>
                  <w:r>
                    <w:rPr>
                      <w:rFonts w:hint="eastAsia"/>
                      <w:color w:val="auto"/>
                      <w:sz w:val="21"/>
                      <w:szCs w:val="21"/>
                      <w:lang w:val="en-US" w:eastAsia="zh-CN"/>
                    </w:rPr>
                    <w:t>0.9</w:t>
                  </w:r>
                </w:p>
              </w:tc>
              <w:tc>
                <w:tcPr>
                  <w:tcW w:w="1398" w:type="dxa"/>
                  <w:vAlign w:val="center"/>
                </w:tcPr>
                <w:p>
                  <w:pPr>
                    <w:bidi w:val="0"/>
                    <w:jc w:val="center"/>
                    <w:rPr>
                      <w:rFonts w:hint="default" w:eastAsia="宋体"/>
                      <w:color w:val="auto"/>
                      <w:sz w:val="21"/>
                      <w:szCs w:val="21"/>
                      <w:lang w:val="en-US" w:eastAsia="zh-CN"/>
                    </w:rPr>
                  </w:pPr>
                  <w:r>
                    <w:rPr>
                      <w:rFonts w:hint="eastAsia"/>
                      <w:color w:val="auto"/>
                      <w:sz w:val="21"/>
                      <w:szCs w:val="21"/>
                      <w:lang w:val="en-US" w:eastAsia="zh-CN"/>
                    </w:rPr>
                    <w:t>50</w:t>
                  </w:r>
                </w:p>
              </w:tc>
              <w:tc>
                <w:tcPr>
                  <w:tcW w:w="1398"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90" w:type="dxa"/>
                  <w:gridSpan w:val="5"/>
                  <w:vAlign w:val="center"/>
                </w:tcPr>
                <w:p>
                  <w:pPr>
                    <w:bidi w:val="0"/>
                    <w:jc w:val="center"/>
                    <w:rPr>
                      <w:color w:val="auto"/>
                      <w:sz w:val="21"/>
                      <w:szCs w:val="21"/>
                    </w:rPr>
                  </w:pPr>
                  <w:r>
                    <w:rPr>
                      <w:rFonts w:hint="eastAsia"/>
                      <w:color w:val="auto"/>
                      <w:sz w:val="21"/>
                      <w:szCs w:val="21"/>
                    </w:rPr>
                    <w:t>合计</w:t>
                  </w:r>
                </w:p>
              </w:tc>
              <w:tc>
                <w:tcPr>
                  <w:tcW w:w="1398" w:type="dxa"/>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rPr>
                  </w:pPr>
                  <w:r>
                    <w:rPr>
                      <w:rFonts w:hint="eastAsia" w:cs="Times New Roman"/>
                      <w:i w:val="0"/>
                      <w:iCs w:val="0"/>
                      <w:color w:val="auto"/>
                      <w:kern w:val="0"/>
                      <w:sz w:val="21"/>
                      <w:szCs w:val="21"/>
                      <w:u w:val="none"/>
                      <w:lang w:val="en-US" w:eastAsia="zh-CN" w:bidi="ar"/>
                    </w:rPr>
                    <w:t>0.0184</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从上表计算结果可知，本项目危险</w:t>
            </w:r>
            <w:r>
              <w:rPr>
                <w:rFonts w:hint="eastAsia"/>
                <w:color w:val="auto"/>
                <w:sz w:val="24"/>
                <w:szCs w:val="32"/>
                <w:lang w:eastAsia="zh-CN"/>
              </w:rPr>
              <w:t>物质的量</w:t>
            </w:r>
            <w:r>
              <w:rPr>
                <w:color w:val="auto"/>
                <w:sz w:val="24"/>
                <w:szCs w:val="32"/>
              </w:rPr>
              <w:t>与临界量比值Q=0.</w:t>
            </w:r>
            <w:r>
              <w:rPr>
                <w:rFonts w:hint="eastAsia"/>
                <w:color w:val="auto"/>
                <w:sz w:val="24"/>
                <w:szCs w:val="32"/>
                <w:lang w:val="en-US" w:eastAsia="zh-CN"/>
              </w:rPr>
              <w:t>0184</w:t>
            </w:r>
            <w:r>
              <w:rPr>
                <w:color w:val="auto"/>
                <w:sz w:val="24"/>
                <w:szCs w:val="32"/>
              </w:rPr>
              <w:t>&lt;1，则本项目环境风险潜势为Ⅰ</w:t>
            </w:r>
            <w:r>
              <w:rPr>
                <w:rFonts w:hint="eastAsia"/>
                <w:color w:val="auto"/>
                <w:sz w:val="24"/>
                <w:szCs w:val="32"/>
              </w:rPr>
              <w:t>，进行简单分析。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rPr>
              <w:t>（3）事故后风险物质识别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本项目</w:t>
            </w:r>
            <w:r>
              <w:rPr>
                <w:rFonts w:hint="eastAsia"/>
                <w:color w:val="auto"/>
                <w:sz w:val="24"/>
                <w:szCs w:val="32"/>
                <w:lang w:val="en-US" w:eastAsia="zh-CN"/>
              </w:rPr>
              <w:t>库房存放的润滑油和危废暂存库中废润滑油都是单独桶装，且暂存区域均属于独立空间，基本不会发生泄漏事故。但原材料中PVB膜</w:t>
            </w:r>
            <w:r>
              <w:rPr>
                <w:rFonts w:hint="eastAsia"/>
                <w:color w:val="auto"/>
                <w:sz w:val="24"/>
                <w:szCs w:val="32"/>
              </w:rPr>
              <w:t>，虽然不属于风险物质，但塑料属于可燃性固体，其生产运营与存贮过程可能产生的风险为燃烧发生火灾，塑料不完全燃烧排放的大量废气，造成环境污染。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rPr>
              <w:t>（4）突发环境事件情景分析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 xml:space="preserve">本项目主要分析工程在运行过程中，由于自然或人为的原因造成的环境风险事故，其风险因素归纳如下：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highlight w:val="none"/>
              </w:rPr>
            </w:pPr>
            <w:r>
              <w:rPr>
                <w:rFonts w:hint="eastAsia"/>
                <w:color w:val="auto"/>
                <w:sz w:val="24"/>
                <w:szCs w:val="32"/>
                <w:highlight w:val="none"/>
              </w:rPr>
              <w:t xml:space="preserve">①废气事故排放对大气环境造成污染。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highlight w:val="none"/>
              </w:rPr>
            </w:pPr>
            <w:r>
              <w:rPr>
                <w:rFonts w:hint="eastAsia"/>
                <w:color w:val="auto"/>
                <w:sz w:val="24"/>
                <w:szCs w:val="32"/>
                <w:highlight w:val="none"/>
              </w:rPr>
              <w:t>②库房、</w:t>
            </w:r>
            <w:r>
              <w:rPr>
                <w:rFonts w:hint="eastAsia"/>
                <w:color w:val="auto"/>
                <w:sz w:val="24"/>
                <w:szCs w:val="32"/>
                <w:highlight w:val="none"/>
                <w:lang w:eastAsia="zh-CN"/>
              </w:rPr>
              <w:t>危废贮存库</w:t>
            </w:r>
            <w:r>
              <w:rPr>
                <w:rFonts w:hint="eastAsia"/>
                <w:color w:val="auto"/>
                <w:sz w:val="24"/>
                <w:szCs w:val="32"/>
                <w:highlight w:val="none"/>
              </w:rPr>
              <w:t>发生火灾，不完全燃烧排放</w:t>
            </w:r>
            <w:r>
              <w:rPr>
                <w:rFonts w:hint="eastAsia"/>
                <w:color w:val="auto"/>
                <w:sz w:val="24"/>
                <w:szCs w:val="32"/>
                <w:highlight w:val="none"/>
                <w:lang w:val="en-US" w:eastAsia="zh-CN"/>
              </w:rPr>
              <w:t>颗粒物</w:t>
            </w:r>
            <w:r>
              <w:rPr>
                <w:rFonts w:hint="eastAsia"/>
                <w:color w:val="auto"/>
                <w:sz w:val="24"/>
                <w:szCs w:val="32"/>
                <w:highlight w:val="none"/>
              </w:rPr>
              <w:t>、一氧化碳等污染物，影响大气环境；同时在灭火过程中会产生一定的消防废水，消防废水中可能混入风险物质，如控制不力，消防废水</w:t>
            </w:r>
            <w:r>
              <w:rPr>
                <w:rFonts w:hint="eastAsia"/>
                <w:color w:val="auto"/>
                <w:sz w:val="24"/>
                <w:szCs w:val="32"/>
                <w:highlight w:val="none"/>
                <w:lang w:val="en-US" w:eastAsia="zh-CN"/>
              </w:rPr>
              <w:t>通过雨水口排放到地表水</w:t>
            </w:r>
            <w:r>
              <w:rPr>
                <w:rFonts w:hint="eastAsia"/>
                <w:color w:val="auto"/>
                <w:sz w:val="24"/>
                <w:szCs w:val="32"/>
                <w:highlight w:val="none"/>
              </w:rPr>
              <w:t>，污染</w:t>
            </w:r>
            <w:r>
              <w:rPr>
                <w:rFonts w:hint="eastAsia"/>
                <w:color w:val="auto"/>
                <w:sz w:val="24"/>
                <w:szCs w:val="32"/>
                <w:highlight w:val="none"/>
                <w:lang w:val="en-US" w:eastAsia="zh-CN"/>
              </w:rPr>
              <w:t>泾河</w:t>
            </w:r>
            <w:r>
              <w:rPr>
                <w:rFonts w:hint="eastAsia"/>
                <w:color w:val="auto"/>
                <w:sz w:val="24"/>
                <w:szCs w:val="32"/>
                <w:highlight w:val="none"/>
              </w:rPr>
              <w:t>和周围土壤。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highlight w:val="none"/>
              </w:rPr>
            </w:pPr>
            <w:r>
              <w:rPr>
                <w:rFonts w:hint="eastAsia"/>
                <w:color w:val="auto"/>
                <w:sz w:val="24"/>
                <w:szCs w:val="32"/>
              </w:rPr>
              <w:t>③库房润滑油</w:t>
            </w:r>
            <w:r>
              <w:rPr>
                <w:rFonts w:hint="eastAsia"/>
                <w:color w:val="auto"/>
                <w:sz w:val="24"/>
                <w:szCs w:val="32"/>
                <w:lang w:eastAsia="zh-CN"/>
              </w:rPr>
              <w:t>，以及危废贮存库</w:t>
            </w:r>
            <w:r>
              <w:rPr>
                <w:rFonts w:hint="eastAsia"/>
                <w:color w:val="auto"/>
                <w:sz w:val="24"/>
                <w:szCs w:val="32"/>
              </w:rPr>
              <w:t>废润滑油等</w:t>
            </w:r>
            <w:r>
              <w:rPr>
                <w:color w:val="auto"/>
                <w:sz w:val="24"/>
                <w:szCs w:val="32"/>
              </w:rPr>
              <w:t>在储存、使用时，若包装容器破损、倾覆造成泄漏，</w:t>
            </w:r>
            <w:r>
              <w:rPr>
                <w:rFonts w:hint="eastAsia"/>
                <w:color w:val="auto"/>
                <w:sz w:val="24"/>
                <w:szCs w:val="32"/>
              </w:rPr>
              <w:t>在转运过程若受降雨冲刷</w:t>
            </w:r>
            <w:r>
              <w:rPr>
                <w:rFonts w:hint="eastAsia"/>
                <w:color w:val="auto"/>
                <w:sz w:val="24"/>
                <w:szCs w:val="32"/>
                <w:highlight w:val="none"/>
                <w:lang w:val="en-US" w:eastAsia="zh-CN"/>
              </w:rPr>
              <w:t>通过雨水口排放到地表水</w:t>
            </w:r>
            <w:r>
              <w:rPr>
                <w:rFonts w:hint="eastAsia"/>
                <w:color w:val="auto"/>
                <w:sz w:val="24"/>
                <w:szCs w:val="32"/>
                <w:highlight w:val="none"/>
              </w:rPr>
              <w:t>，污染</w:t>
            </w:r>
            <w:r>
              <w:rPr>
                <w:rFonts w:hint="eastAsia"/>
                <w:color w:val="auto"/>
                <w:sz w:val="24"/>
                <w:szCs w:val="32"/>
                <w:highlight w:val="none"/>
                <w:lang w:val="en-US" w:eastAsia="zh-CN"/>
              </w:rPr>
              <w:t>泾河</w:t>
            </w:r>
            <w:r>
              <w:rPr>
                <w:rFonts w:hint="eastAsia"/>
                <w:color w:val="auto"/>
                <w:sz w:val="24"/>
                <w:szCs w:val="32"/>
                <w:highlight w:val="none"/>
              </w:rPr>
              <w:t>和周围土壤。</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32"/>
              </w:rPr>
            </w:pPr>
            <w:r>
              <w:rPr>
                <w:rFonts w:hint="eastAsia"/>
                <w:b/>
                <w:bCs/>
                <w:color w:val="auto"/>
                <w:sz w:val="24"/>
                <w:szCs w:val="32"/>
              </w:rPr>
              <w:t>（5）环境风险防范措施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建设项目认真贯彻</w:t>
            </w:r>
            <w:r>
              <w:rPr>
                <w:color w:val="auto"/>
                <w:sz w:val="24"/>
                <w:szCs w:val="32"/>
              </w:rPr>
              <w:t>“</w:t>
            </w:r>
            <w:r>
              <w:rPr>
                <w:rFonts w:hint="eastAsia"/>
                <w:color w:val="auto"/>
                <w:sz w:val="24"/>
                <w:szCs w:val="32"/>
              </w:rPr>
              <w:t>安全</w:t>
            </w:r>
            <w:r>
              <w:rPr>
                <w:rFonts w:hint="eastAsia"/>
                <w:color w:val="auto"/>
                <w:sz w:val="24"/>
                <w:szCs w:val="32"/>
                <w:lang w:eastAsia="zh-CN"/>
              </w:rPr>
              <w:t>第一，</w:t>
            </w:r>
            <w:r>
              <w:rPr>
                <w:rFonts w:hint="eastAsia"/>
                <w:color w:val="auto"/>
                <w:sz w:val="24"/>
                <w:szCs w:val="32"/>
              </w:rPr>
              <w:t>预防为主</w:t>
            </w:r>
            <w:r>
              <w:rPr>
                <w:color w:val="auto"/>
                <w:sz w:val="24"/>
                <w:szCs w:val="32"/>
              </w:rPr>
              <w:t>”</w:t>
            </w:r>
            <w:r>
              <w:rPr>
                <w:rFonts w:hint="eastAsia"/>
                <w:color w:val="auto"/>
                <w:sz w:val="24"/>
                <w:szCs w:val="32"/>
              </w:rPr>
              <w:t>的方针，执行劳动保护</w:t>
            </w:r>
            <w:r>
              <w:rPr>
                <w:color w:val="auto"/>
                <w:sz w:val="24"/>
                <w:szCs w:val="32"/>
              </w:rPr>
              <w:t>“</w:t>
            </w:r>
            <w:r>
              <w:rPr>
                <w:rFonts w:hint="eastAsia"/>
                <w:color w:val="auto"/>
                <w:sz w:val="24"/>
                <w:szCs w:val="32"/>
              </w:rPr>
              <w:t>三同时</w:t>
            </w:r>
            <w:r>
              <w:rPr>
                <w:color w:val="auto"/>
                <w:sz w:val="24"/>
                <w:szCs w:val="32"/>
              </w:rPr>
              <w:t>”</w:t>
            </w:r>
            <w:r>
              <w:rPr>
                <w:rFonts w:hint="eastAsia"/>
                <w:color w:val="auto"/>
                <w:sz w:val="24"/>
                <w:szCs w:val="32"/>
              </w:rPr>
              <w:t>原则，严格遵守有关规范和规定，认真贯彻各项对策措施，对可能发生的各种危险、危害因素采取完善、可靠、有效的劳动安全卫生防范措施，</w:t>
            </w:r>
            <w:r>
              <w:rPr>
                <w:rFonts w:hint="eastAsia"/>
                <w:color w:val="auto"/>
                <w:sz w:val="24"/>
                <w:szCs w:val="32"/>
                <w:lang w:val="en-US" w:eastAsia="zh-CN"/>
              </w:rPr>
              <w:t>同时编制突发环境事件应急预案并定期演练，</w:t>
            </w:r>
            <w:r>
              <w:rPr>
                <w:rFonts w:hint="eastAsia"/>
                <w:color w:val="auto"/>
                <w:sz w:val="24"/>
                <w:szCs w:val="32"/>
              </w:rPr>
              <w:t>防止和减少各类事故的发生，以确保生产和人体安全。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通过对项目有害因素的辨识，项目运营期间有可能发生的事故是危险品泄漏事故、污染防治措施出现事故造成污染物事故排放、物料火灾事故等。本项目采取了</w:t>
            </w:r>
            <w:r>
              <w:rPr>
                <w:rFonts w:hint="eastAsia"/>
                <w:color w:val="auto"/>
                <w:sz w:val="24"/>
                <w:szCs w:val="32"/>
                <w:lang w:val="en-US" w:eastAsia="zh-CN"/>
              </w:rPr>
              <w:t>相应的防范</w:t>
            </w:r>
            <w:r>
              <w:rPr>
                <w:rFonts w:hint="eastAsia"/>
                <w:color w:val="auto"/>
                <w:sz w:val="24"/>
                <w:szCs w:val="32"/>
              </w:rPr>
              <w:t>措施，以预防生产安全事故的发生，具体防范措施如下：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①存储、运输过程中的事故防范措施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存储：本项目</w:t>
            </w:r>
            <w:r>
              <w:rPr>
                <w:rFonts w:hint="eastAsia"/>
                <w:color w:val="auto"/>
                <w:sz w:val="24"/>
                <w:szCs w:val="32"/>
                <w:lang w:val="en-US" w:eastAsia="zh-CN"/>
              </w:rPr>
              <w:t>库房</w:t>
            </w:r>
            <w:r>
              <w:rPr>
                <w:rFonts w:hint="eastAsia"/>
                <w:color w:val="auto"/>
                <w:sz w:val="24"/>
                <w:szCs w:val="32"/>
              </w:rPr>
              <w:t>应为阴凉、通风的，远离火种、热源，防止阳光直射，地面进行硬化、防渗和耐腐蚀处理。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运输：由于危险品的转运较其他货物的运输有更大的危险性，因此在厂区内运输过程中应小心谨慎，确保安全。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rFonts w:hint="eastAsia"/>
                <w:color w:val="auto"/>
                <w:sz w:val="24"/>
                <w:szCs w:val="32"/>
              </w:rPr>
              <w:t>②生产场所的安全防范措施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本项目生产场所只要严格控制明火和定期检修线路等，则发生事故的</w:t>
            </w:r>
            <w:r>
              <w:rPr>
                <w:rFonts w:hint="eastAsia"/>
                <w:color w:val="auto"/>
                <w:sz w:val="24"/>
                <w:szCs w:val="32"/>
              </w:rPr>
              <w:t>概率</w:t>
            </w:r>
            <w:r>
              <w:rPr>
                <w:color w:val="auto"/>
                <w:sz w:val="24"/>
                <w:szCs w:val="32"/>
              </w:rPr>
              <w:t>很低，建议采取如下措施：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A</w:t>
            </w:r>
            <w:r>
              <w:rPr>
                <w:rFonts w:hint="eastAsia"/>
                <w:color w:val="auto"/>
                <w:sz w:val="24"/>
                <w:szCs w:val="32"/>
              </w:rPr>
              <w:t>.</w:t>
            </w:r>
            <w:r>
              <w:rPr>
                <w:color w:val="auto"/>
                <w:sz w:val="24"/>
                <w:szCs w:val="32"/>
              </w:rPr>
              <w:t>车间的照明、通风设施应采用防爆型，开关设在房外。配备相应品种和数量的消防器材。禁止使用易产生火花和机械设备工具。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B</w:t>
            </w:r>
            <w:r>
              <w:rPr>
                <w:rFonts w:hint="eastAsia"/>
                <w:color w:val="auto"/>
                <w:sz w:val="24"/>
                <w:szCs w:val="32"/>
              </w:rPr>
              <w:t>.</w:t>
            </w:r>
            <w:r>
              <w:rPr>
                <w:color w:val="auto"/>
                <w:sz w:val="24"/>
                <w:szCs w:val="32"/>
              </w:rPr>
              <w:t>使用危险化学品的过程中，泄漏或渗漏的包装容器应迅速移至安全区域。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C</w:t>
            </w:r>
            <w:r>
              <w:rPr>
                <w:rFonts w:hint="eastAsia"/>
                <w:color w:val="auto"/>
                <w:sz w:val="24"/>
                <w:szCs w:val="32"/>
              </w:rPr>
              <w:t>.</w:t>
            </w:r>
            <w:r>
              <w:rPr>
                <w:color w:val="auto"/>
                <w:sz w:val="24"/>
                <w:szCs w:val="32"/>
              </w:rPr>
              <w:t>加强危险废物的管理，危险废物必须有专人管理，制定严格的制度，存放和使用都必须有严格的记录，防止流失造成危害。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D</w:t>
            </w:r>
            <w:r>
              <w:rPr>
                <w:rFonts w:hint="eastAsia"/>
                <w:color w:val="auto"/>
                <w:sz w:val="24"/>
                <w:szCs w:val="32"/>
              </w:rPr>
              <w:t>.</w:t>
            </w:r>
            <w:r>
              <w:rPr>
                <w:color w:val="auto"/>
                <w:sz w:val="24"/>
                <w:szCs w:val="32"/>
              </w:rPr>
              <w:t>应对所使用的危险化学品挂贴危险化学品安全标签，填写危险化学品安全技术说明书。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E</w:t>
            </w:r>
            <w:r>
              <w:rPr>
                <w:rFonts w:hint="eastAsia"/>
                <w:color w:val="auto"/>
                <w:sz w:val="24"/>
                <w:szCs w:val="32"/>
              </w:rPr>
              <w:t>.</w:t>
            </w:r>
            <w:r>
              <w:rPr>
                <w:color w:val="auto"/>
                <w:sz w:val="24"/>
                <w:szCs w:val="32"/>
              </w:rPr>
              <w:t>化学物品管理人员应进行培训，熟悉储存物品的分类、性质、保管业务知识和安全知识，掌握设备维护保养方法，并经考核合格后持证上岗。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32"/>
              </w:rPr>
            </w:pPr>
            <w:r>
              <w:rPr>
                <w:color w:val="auto"/>
                <w:sz w:val="24"/>
                <w:szCs w:val="32"/>
              </w:rPr>
              <w:t>F</w:t>
            </w:r>
            <w:r>
              <w:rPr>
                <w:rFonts w:hint="eastAsia"/>
                <w:color w:val="auto"/>
                <w:sz w:val="24"/>
                <w:szCs w:val="32"/>
              </w:rPr>
              <w:t>.</w:t>
            </w:r>
            <w:r>
              <w:rPr>
                <w:color w:val="auto"/>
                <w:sz w:val="24"/>
                <w:szCs w:val="32"/>
              </w:rPr>
              <w:t>配置沙土箱和适当的空容器、工具，以便发生泄漏时收集溢出的物料</w:t>
            </w:r>
            <w:r>
              <w:rPr>
                <w:rFonts w:hint="eastAsia"/>
                <w:color w:val="auto"/>
                <w:sz w:val="24"/>
                <w:szCs w:val="32"/>
              </w:rPr>
              <w:t>。</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bCs/>
                <w:color w:val="auto"/>
                <w:sz w:val="24"/>
                <w:szCs w:val="32"/>
              </w:rPr>
            </w:pPr>
            <w:r>
              <w:rPr>
                <w:rFonts w:hint="eastAsia" w:ascii="宋体" w:hAnsi="宋体" w:cs="宋体"/>
                <w:b/>
                <w:bCs/>
                <w:color w:val="auto"/>
                <w:kern w:val="0"/>
                <w:sz w:val="24"/>
                <w:szCs w:val="32"/>
                <w:lang w:bidi="ar"/>
              </w:rPr>
              <w:t>（</w:t>
            </w:r>
            <w:r>
              <w:rPr>
                <w:rFonts w:hint="eastAsia"/>
                <w:b/>
                <w:bCs/>
                <w:color w:val="auto"/>
                <w:kern w:val="0"/>
                <w:sz w:val="24"/>
                <w:szCs w:val="32"/>
                <w:lang w:val="en-US" w:eastAsia="zh-CN" w:bidi="ar"/>
              </w:rPr>
              <w:t>6</w:t>
            </w:r>
            <w:r>
              <w:rPr>
                <w:rFonts w:hint="eastAsia" w:ascii="宋体" w:hAnsi="宋体" w:cs="宋体"/>
                <w:b/>
                <w:bCs/>
                <w:color w:val="auto"/>
                <w:kern w:val="0"/>
                <w:sz w:val="24"/>
                <w:szCs w:val="32"/>
                <w:lang w:bidi="ar"/>
              </w:rPr>
              <w:t>）分析结论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32"/>
                <w:lang w:bidi="ar"/>
              </w:rPr>
            </w:pPr>
            <w:r>
              <w:rPr>
                <w:rFonts w:hint="eastAsia" w:ascii="宋体" w:hAnsi="宋体" w:cs="宋体"/>
                <w:color w:val="auto"/>
                <w:kern w:val="0"/>
                <w:sz w:val="24"/>
                <w:szCs w:val="32"/>
                <w:lang w:bidi="ar"/>
              </w:rPr>
              <w:t>项目应严格按照消防及安监部门的要求，做好防范措施，设立健全的公司突发环境事故应急组织机构，以便采取更有效的措施来监测灾情及防止污染事故的进一步扩散，环境风险是可控的。</w:t>
            </w:r>
          </w:p>
          <w:p>
            <w:pPr>
              <w:widowControl/>
              <w:spacing w:line="360" w:lineRule="auto"/>
              <w:ind w:firstLine="482" w:firstLineChars="200"/>
              <w:rPr>
                <w:b/>
                <w:bCs/>
                <w:color w:val="auto"/>
                <w:sz w:val="24"/>
              </w:rPr>
            </w:pPr>
            <w:r>
              <w:rPr>
                <w:rFonts w:hint="eastAsia"/>
                <w:b/>
                <w:bCs/>
                <w:color w:val="auto"/>
                <w:sz w:val="24"/>
                <w:lang w:val="en-US" w:eastAsia="zh-CN"/>
              </w:rPr>
              <w:t>7</w:t>
            </w:r>
            <w:r>
              <w:rPr>
                <w:b/>
                <w:bCs/>
                <w:color w:val="auto"/>
                <w:sz w:val="24"/>
              </w:rPr>
              <w:t>、环保投资</w:t>
            </w:r>
          </w:p>
          <w:p>
            <w:pPr>
              <w:widowControl/>
              <w:spacing w:line="360" w:lineRule="auto"/>
              <w:ind w:firstLine="480" w:firstLineChars="200"/>
              <w:rPr>
                <w:color w:val="auto"/>
                <w:sz w:val="24"/>
              </w:rPr>
            </w:pPr>
            <w:r>
              <w:rPr>
                <w:color w:val="auto"/>
                <w:sz w:val="24"/>
              </w:rPr>
              <w:t>本项目总投资</w:t>
            </w:r>
            <w:r>
              <w:rPr>
                <w:rFonts w:hint="eastAsia"/>
                <w:color w:val="auto"/>
                <w:sz w:val="24"/>
                <w:lang w:val="en-US" w:eastAsia="zh-CN"/>
              </w:rPr>
              <w:t>15</w:t>
            </w:r>
            <w:r>
              <w:rPr>
                <w:color w:val="auto"/>
                <w:sz w:val="24"/>
              </w:rPr>
              <w:t>00万元，其中环保投资</w:t>
            </w:r>
            <w:r>
              <w:rPr>
                <w:rFonts w:hint="eastAsia"/>
                <w:color w:val="auto"/>
                <w:sz w:val="24"/>
                <w:lang w:val="en-US" w:eastAsia="zh-CN"/>
              </w:rPr>
              <w:t>65</w:t>
            </w:r>
            <w:r>
              <w:rPr>
                <w:color w:val="auto"/>
                <w:sz w:val="24"/>
              </w:rPr>
              <w:t>万元，占总投资的</w:t>
            </w:r>
            <w:r>
              <w:rPr>
                <w:rFonts w:hint="eastAsia"/>
                <w:color w:val="auto"/>
                <w:sz w:val="24"/>
                <w:lang w:val="en-US" w:eastAsia="zh-CN"/>
              </w:rPr>
              <w:t>4.3</w:t>
            </w:r>
            <w:r>
              <w:rPr>
                <w:color w:val="auto"/>
                <w:sz w:val="24"/>
              </w:rPr>
              <w:t>%。</w:t>
            </w:r>
          </w:p>
          <w:p>
            <w:pPr>
              <w:pStyle w:val="86"/>
              <w:ind w:firstLine="480"/>
              <w:rPr>
                <w:rFonts w:hint="default" w:eastAsia="宋体"/>
                <w:color w:val="auto"/>
                <w:lang w:val="en-US" w:eastAsia="zh-CN"/>
              </w:rPr>
            </w:pPr>
            <w:r>
              <w:rPr>
                <w:color w:val="auto"/>
              </w:rPr>
              <w:t>表4-1</w:t>
            </w:r>
            <w:r>
              <w:rPr>
                <w:rFonts w:hint="eastAsia"/>
                <w:color w:val="auto"/>
                <w:lang w:val="en-US" w:eastAsia="zh-CN"/>
              </w:rPr>
              <w:t>6</w:t>
            </w:r>
            <w:r>
              <w:rPr>
                <w:color w:val="auto"/>
              </w:rPr>
              <w:t xml:space="preserve">  环保总投资一览表</w:t>
            </w:r>
            <w:r>
              <w:rPr>
                <w:rFonts w:hint="eastAsia"/>
                <w:color w:val="auto"/>
                <w:lang w:val="en-US" w:eastAsia="zh-CN"/>
              </w:rPr>
              <w:t xml:space="preserve">  单位：万元</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609"/>
              <w:gridCol w:w="4364"/>
              <w:gridCol w:w="681"/>
              <w:gridCol w:w="108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noWrap w:val="0"/>
                  <w:vAlign w:val="center"/>
                </w:tcPr>
                <w:p>
                  <w:pPr>
                    <w:snapToGrid w:val="0"/>
                    <w:spacing w:line="240" w:lineRule="auto"/>
                    <w:ind w:firstLine="0" w:firstLineChars="0"/>
                    <w:jc w:val="center"/>
                    <w:rPr>
                      <w:bCs/>
                      <w:color w:val="auto"/>
                      <w:sz w:val="21"/>
                      <w:szCs w:val="21"/>
                    </w:rPr>
                  </w:pPr>
                  <w:r>
                    <w:rPr>
                      <w:bCs/>
                      <w:color w:val="auto"/>
                      <w:sz w:val="21"/>
                      <w:szCs w:val="21"/>
                    </w:rPr>
                    <w:t>名称</w:t>
                  </w: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主要污染源</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环保设施名称</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数量</w:t>
                  </w:r>
                </w:p>
              </w:tc>
              <w:tc>
                <w:tcPr>
                  <w:tcW w:w="643" w:type="pct"/>
                  <w:noWrap w:val="0"/>
                  <w:vAlign w:val="center"/>
                </w:tcPr>
                <w:p>
                  <w:pPr>
                    <w:snapToGrid w:val="0"/>
                    <w:spacing w:line="240" w:lineRule="auto"/>
                    <w:ind w:firstLine="0" w:firstLineChars="0"/>
                    <w:jc w:val="center"/>
                    <w:rPr>
                      <w:rFonts w:hint="eastAsia" w:eastAsia="宋体"/>
                      <w:bCs/>
                      <w:color w:val="auto"/>
                      <w:sz w:val="21"/>
                      <w:szCs w:val="21"/>
                      <w:lang w:eastAsia="zh-CN"/>
                    </w:rPr>
                  </w:pPr>
                  <w:r>
                    <w:rPr>
                      <w:rFonts w:hint="eastAsia"/>
                      <w:bCs/>
                      <w:color w:val="auto"/>
                      <w:sz w:val="21"/>
                      <w:szCs w:val="21"/>
                      <w:lang w:val="en-US" w:eastAsia="zh-CN"/>
                    </w:rPr>
                    <w:t>环保投资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restart"/>
                  <w:noWrap w:val="0"/>
                  <w:vAlign w:val="center"/>
                </w:tcPr>
                <w:p>
                  <w:pPr>
                    <w:snapToGrid w:val="0"/>
                    <w:spacing w:line="240" w:lineRule="auto"/>
                    <w:ind w:firstLine="0" w:firstLineChars="0"/>
                    <w:jc w:val="center"/>
                    <w:rPr>
                      <w:bCs/>
                      <w:color w:val="auto"/>
                      <w:sz w:val="21"/>
                      <w:szCs w:val="21"/>
                    </w:rPr>
                  </w:pPr>
                  <w:r>
                    <w:rPr>
                      <w:bCs/>
                      <w:color w:val="auto"/>
                      <w:sz w:val="21"/>
                      <w:szCs w:val="21"/>
                    </w:rPr>
                    <w:t>废气</w:t>
                  </w: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回流焊、</w:t>
                  </w:r>
                  <w:r>
                    <w:rPr>
                      <w:rFonts w:hint="eastAsia" w:cs="Times New Roman"/>
                      <w:color w:val="auto"/>
                      <w:kern w:val="2"/>
                      <w:sz w:val="21"/>
                      <w:szCs w:val="24"/>
                      <w:highlight w:val="none"/>
                      <w:lang w:val="en-US" w:eastAsia="zh-CN" w:bidi="ar-SA"/>
                    </w:rPr>
                    <w:t>非高压热压夹层机</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设备封闭，收集的废气</w:t>
                  </w:r>
                  <w:r>
                    <w:rPr>
                      <w:rFonts w:hint="eastAsia"/>
                      <w:bCs/>
                      <w:color w:val="auto"/>
                      <w:sz w:val="21"/>
                      <w:szCs w:val="21"/>
                      <w:lang w:val="en-US" w:eastAsia="zh-CN"/>
                    </w:rPr>
                    <w:t>降温后经3M</w:t>
                  </w:r>
                  <w:r>
                    <w:rPr>
                      <w:bCs/>
                      <w:color w:val="auto"/>
                      <w:sz w:val="21"/>
                      <w:szCs w:val="21"/>
                    </w:rPr>
                    <w:t>过滤棉+二级活性炭+2</w:t>
                  </w:r>
                  <w:r>
                    <w:rPr>
                      <w:rFonts w:hint="eastAsia"/>
                      <w:bCs/>
                      <w:color w:val="auto"/>
                      <w:sz w:val="21"/>
                      <w:szCs w:val="21"/>
                      <w:lang w:val="en-US" w:eastAsia="zh-CN"/>
                    </w:rPr>
                    <w:t>5</w:t>
                  </w:r>
                  <w:r>
                    <w:rPr>
                      <w:bCs/>
                      <w:color w:val="auto"/>
                      <w:sz w:val="21"/>
                      <w:szCs w:val="21"/>
                    </w:rPr>
                    <w:t>m高排气筒（1根，</w:t>
                  </w:r>
                  <w:r>
                    <w:rPr>
                      <w:bCs/>
                      <w:color w:val="auto"/>
                      <w:kern w:val="0"/>
                      <w:sz w:val="21"/>
                      <w:szCs w:val="21"/>
                    </w:rPr>
                    <w:t>DA001</w:t>
                  </w:r>
                  <w:r>
                    <w:rPr>
                      <w:bCs/>
                      <w:color w:val="auto"/>
                      <w:sz w:val="21"/>
                      <w:szCs w:val="21"/>
                    </w:rPr>
                    <w:t>）</w:t>
                  </w:r>
                </w:p>
              </w:tc>
              <w:tc>
                <w:tcPr>
                  <w:tcW w:w="404" w:type="pct"/>
                  <w:noWrap w:val="0"/>
                  <w:vAlign w:val="center"/>
                </w:tcPr>
                <w:p>
                  <w:pPr>
                    <w:snapToGrid w:val="0"/>
                    <w:spacing w:line="240" w:lineRule="auto"/>
                    <w:ind w:firstLine="0" w:firstLineChars="0"/>
                    <w:jc w:val="center"/>
                    <w:rPr>
                      <w:bCs/>
                      <w:color w:val="auto"/>
                      <w:sz w:val="21"/>
                      <w:szCs w:val="21"/>
                    </w:rPr>
                  </w:pPr>
                  <w:r>
                    <w:rPr>
                      <w:rFonts w:hint="eastAsia"/>
                      <w:bCs/>
                      <w:color w:val="auto"/>
                      <w:sz w:val="21"/>
                      <w:szCs w:val="21"/>
                      <w:lang w:val="en-US" w:eastAsia="zh-CN"/>
                    </w:rPr>
                    <w:t>2</w:t>
                  </w:r>
                  <w:r>
                    <w:rPr>
                      <w:bCs/>
                      <w:color w:val="auto"/>
                      <w:sz w:val="21"/>
                      <w:szCs w:val="21"/>
                    </w:rPr>
                    <w:t>套</w:t>
                  </w:r>
                </w:p>
              </w:tc>
              <w:tc>
                <w:tcPr>
                  <w:tcW w:w="643"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continue"/>
                  <w:noWrap w:val="0"/>
                  <w:vAlign w:val="center"/>
                </w:tcPr>
                <w:p>
                  <w:pPr>
                    <w:snapToGrid w:val="0"/>
                    <w:spacing w:line="240" w:lineRule="auto"/>
                    <w:ind w:firstLine="0" w:firstLineChars="0"/>
                    <w:jc w:val="center"/>
                    <w:rPr>
                      <w:bCs/>
                      <w:color w:val="auto"/>
                      <w:sz w:val="21"/>
                      <w:szCs w:val="21"/>
                    </w:rPr>
                  </w:pPr>
                </w:p>
              </w:tc>
              <w:tc>
                <w:tcPr>
                  <w:tcW w:w="955" w:type="pct"/>
                  <w:vMerge w:val="restar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人工补焊机、单硅片串焊机</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废气经</w:t>
                  </w:r>
                  <w:r>
                    <w:rPr>
                      <w:rFonts w:hint="eastAsia"/>
                      <w:bCs/>
                      <w:color w:val="auto"/>
                      <w:sz w:val="21"/>
                      <w:szCs w:val="21"/>
                      <w:lang w:val="en-US" w:eastAsia="zh-CN"/>
                    </w:rPr>
                    <w:t>移动式</w:t>
                  </w:r>
                  <w:r>
                    <w:rPr>
                      <w:bCs/>
                      <w:color w:val="auto"/>
                      <w:sz w:val="21"/>
                      <w:szCs w:val="21"/>
                    </w:rPr>
                    <w:t>焊烟净化器处理后无组织排放</w:t>
                  </w:r>
                </w:p>
              </w:tc>
              <w:tc>
                <w:tcPr>
                  <w:tcW w:w="404" w:type="pct"/>
                  <w:noWrap w:val="0"/>
                  <w:vAlign w:val="center"/>
                </w:tcPr>
                <w:p>
                  <w:pPr>
                    <w:snapToGrid w:val="0"/>
                    <w:spacing w:line="240" w:lineRule="auto"/>
                    <w:ind w:firstLine="0" w:firstLineChars="0"/>
                    <w:jc w:val="center"/>
                    <w:rPr>
                      <w:rFonts w:hint="default"/>
                      <w:bCs/>
                      <w:color w:val="auto"/>
                      <w:sz w:val="21"/>
                      <w:szCs w:val="21"/>
                      <w:lang w:val="en-US"/>
                    </w:rPr>
                  </w:pPr>
                  <w:r>
                    <w:rPr>
                      <w:rFonts w:hint="eastAsia"/>
                      <w:bCs/>
                      <w:color w:val="auto"/>
                      <w:sz w:val="21"/>
                      <w:szCs w:val="21"/>
                      <w:lang w:val="en-US" w:eastAsia="zh-CN"/>
                    </w:rPr>
                    <w:t>8台</w:t>
                  </w:r>
                </w:p>
              </w:tc>
              <w:tc>
                <w:tcPr>
                  <w:tcW w:w="643" w:type="pct"/>
                  <w:noWrap w:val="0"/>
                  <w:vAlign w:val="center"/>
                </w:tcPr>
                <w:p>
                  <w:pPr>
                    <w:snapToGrid w:val="0"/>
                    <w:spacing w:line="240" w:lineRule="auto"/>
                    <w:ind w:firstLine="0" w:firstLineChars="0"/>
                    <w:jc w:val="center"/>
                    <w:rPr>
                      <w:rFonts w:hint="eastAsia" w:eastAsia="宋体"/>
                      <w:bCs/>
                      <w:color w:val="auto"/>
                      <w:sz w:val="21"/>
                      <w:szCs w:val="21"/>
                      <w:lang w:eastAsia="zh-CN"/>
                    </w:rPr>
                  </w:pPr>
                  <w:r>
                    <w:rPr>
                      <w:rFonts w:hint="eastAsia"/>
                      <w:bCs/>
                      <w:color w:val="auto"/>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05" w:type="pct"/>
                  <w:vMerge w:val="continue"/>
                  <w:noWrap w:val="0"/>
                  <w:vAlign w:val="center"/>
                </w:tcPr>
                <w:p>
                  <w:pPr>
                    <w:snapToGrid w:val="0"/>
                    <w:spacing w:line="240" w:lineRule="auto"/>
                    <w:ind w:firstLine="0" w:firstLineChars="0"/>
                    <w:jc w:val="center"/>
                    <w:rPr>
                      <w:bCs/>
                      <w:color w:val="auto"/>
                      <w:sz w:val="21"/>
                      <w:szCs w:val="21"/>
                    </w:rPr>
                  </w:pPr>
                </w:p>
              </w:tc>
              <w:tc>
                <w:tcPr>
                  <w:tcW w:w="955" w:type="pct"/>
                  <w:vMerge w:val="continue"/>
                  <w:noWrap w:val="0"/>
                  <w:vAlign w:val="center"/>
                </w:tcPr>
                <w:p>
                  <w:pPr>
                    <w:snapToGrid w:val="0"/>
                    <w:spacing w:line="240" w:lineRule="auto"/>
                    <w:ind w:firstLine="0" w:firstLineChars="0"/>
                    <w:jc w:val="center"/>
                    <w:rPr>
                      <w:bCs/>
                      <w:color w:val="auto"/>
                      <w:sz w:val="21"/>
                      <w:szCs w:val="21"/>
                    </w:rPr>
                  </w:pPr>
                </w:p>
              </w:tc>
              <w:tc>
                <w:tcPr>
                  <w:tcW w:w="2591"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换气扇强制通风</w:t>
                  </w:r>
                </w:p>
              </w:tc>
              <w:tc>
                <w:tcPr>
                  <w:tcW w:w="404"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21台</w:t>
                  </w:r>
                </w:p>
              </w:tc>
              <w:tc>
                <w:tcPr>
                  <w:tcW w:w="643"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restart"/>
                  <w:noWrap w:val="0"/>
                  <w:vAlign w:val="center"/>
                </w:tcPr>
                <w:p>
                  <w:pPr>
                    <w:snapToGrid w:val="0"/>
                    <w:spacing w:line="240" w:lineRule="auto"/>
                    <w:ind w:firstLine="0" w:firstLineChars="0"/>
                    <w:jc w:val="center"/>
                    <w:rPr>
                      <w:bCs/>
                      <w:color w:val="auto"/>
                      <w:sz w:val="21"/>
                      <w:szCs w:val="21"/>
                    </w:rPr>
                  </w:pPr>
                  <w:r>
                    <w:rPr>
                      <w:bCs/>
                      <w:color w:val="auto"/>
                      <w:sz w:val="21"/>
                      <w:szCs w:val="21"/>
                    </w:rPr>
                    <w:t>噪声</w:t>
                  </w: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生产设备</w:t>
                  </w:r>
                </w:p>
              </w:tc>
              <w:tc>
                <w:tcPr>
                  <w:tcW w:w="2591" w:type="pct"/>
                  <w:noWrap w:val="0"/>
                  <w:vAlign w:val="center"/>
                </w:tcPr>
                <w:p>
                  <w:pPr>
                    <w:snapToGrid w:val="0"/>
                    <w:spacing w:line="240" w:lineRule="auto"/>
                    <w:ind w:firstLine="0" w:firstLineChars="0"/>
                    <w:jc w:val="center"/>
                    <w:rPr>
                      <w:bCs/>
                      <w:color w:val="auto"/>
                      <w:sz w:val="21"/>
                      <w:szCs w:val="21"/>
                    </w:rPr>
                  </w:pPr>
                  <w:r>
                    <w:rPr>
                      <w:rFonts w:hint="eastAsia"/>
                      <w:color w:val="auto"/>
                    </w:rPr>
                    <w:t>选择低噪声设备，</w:t>
                  </w:r>
                  <w:r>
                    <w:rPr>
                      <w:color w:val="auto"/>
                    </w:rPr>
                    <w:t>基础减震，定期检查更换老旧设备</w:t>
                  </w:r>
                  <w:r>
                    <w:rPr>
                      <w:rFonts w:hint="eastAsia"/>
                      <w:color w:val="auto"/>
                    </w:rPr>
                    <w:t>，封闭厂房</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若干</w:t>
                  </w:r>
                </w:p>
              </w:tc>
              <w:tc>
                <w:tcPr>
                  <w:tcW w:w="643" w:type="pct"/>
                  <w:noWrap w:val="0"/>
                  <w:vAlign w:val="center"/>
                </w:tcPr>
                <w:p>
                  <w:pPr>
                    <w:snapToGrid w:val="0"/>
                    <w:spacing w:line="240" w:lineRule="auto"/>
                    <w:ind w:firstLine="0" w:firstLineChars="0"/>
                    <w:jc w:val="center"/>
                    <w:rPr>
                      <w:bCs/>
                      <w:color w:val="auto"/>
                      <w:sz w:val="21"/>
                      <w:szCs w:val="21"/>
                    </w:rPr>
                  </w:pPr>
                  <w:r>
                    <w:rPr>
                      <w:bCs/>
                      <w:color w:val="auto"/>
                      <w:sz w:val="21"/>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continue"/>
                  <w:noWrap w:val="0"/>
                  <w:vAlign w:val="center"/>
                </w:tcPr>
                <w:p>
                  <w:pPr>
                    <w:snapToGrid w:val="0"/>
                    <w:spacing w:line="240" w:lineRule="auto"/>
                    <w:ind w:firstLine="0" w:firstLineChars="0"/>
                    <w:jc w:val="center"/>
                    <w:rPr>
                      <w:bCs/>
                      <w:color w:val="auto"/>
                      <w:sz w:val="21"/>
                      <w:szCs w:val="21"/>
                    </w:rPr>
                  </w:pPr>
                </w:p>
              </w:tc>
              <w:tc>
                <w:tcPr>
                  <w:tcW w:w="955"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通风设施</w:t>
                  </w:r>
                </w:p>
              </w:tc>
              <w:tc>
                <w:tcPr>
                  <w:tcW w:w="2591" w:type="pct"/>
                  <w:noWrap w:val="0"/>
                  <w:vAlign w:val="center"/>
                </w:tcPr>
                <w:p>
                  <w:pPr>
                    <w:snapToGrid w:val="0"/>
                    <w:spacing w:line="240" w:lineRule="auto"/>
                    <w:ind w:firstLine="0" w:firstLineChars="0"/>
                    <w:jc w:val="center"/>
                    <w:rPr>
                      <w:rFonts w:hint="eastAsia"/>
                      <w:color w:val="auto"/>
                    </w:rPr>
                  </w:pPr>
                  <w:r>
                    <w:rPr>
                      <w:rFonts w:hint="eastAsia"/>
                      <w:color w:val="auto"/>
                      <w:lang w:val="en-US" w:eastAsia="zh-CN"/>
                    </w:rPr>
                    <w:t>排风机单独设置排烟机房</w:t>
                  </w:r>
                </w:p>
              </w:tc>
              <w:tc>
                <w:tcPr>
                  <w:tcW w:w="404"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2套</w:t>
                  </w:r>
                </w:p>
              </w:tc>
              <w:tc>
                <w:tcPr>
                  <w:tcW w:w="643" w:type="pct"/>
                  <w:noWrap w:val="0"/>
                  <w:vAlign w:val="center"/>
                </w:tcPr>
                <w:p>
                  <w:pPr>
                    <w:snapToGrid w:val="0"/>
                    <w:spacing w:line="240" w:lineRule="auto"/>
                    <w:ind w:firstLine="0" w:firstLineChars="0"/>
                    <w:jc w:val="center"/>
                    <w:rPr>
                      <w:bCs/>
                      <w:color w:val="auto"/>
                      <w:sz w:val="21"/>
                      <w:szCs w:val="21"/>
                    </w:rPr>
                  </w:pPr>
                  <w:r>
                    <w:rPr>
                      <w:rFonts w:hint="eastAsia"/>
                      <w:bCs/>
                      <w:color w:val="auto"/>
                      <w:sz w:val="21"/>
                      <w:szCs w:val="21"/>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noWrap w:val="0"/>
                  <w:vAlign w:val="center"/>
                </w:tcPr>
                <w:p>
                  <w:pPr>
                    <w:snapToGrid w:val="0"/>
                    <w:spacing w:line="240" w:lineRule="auto"/>
                    <w:ind w:firstLine="0" w:firstLineChars="0"/>
                    <w:jc w:val="center"/>
                    <w:rPr>
                      <w:bCs/>
                      <w:color w:val="auto"/>
                      <w:sz w:val="21"/>
                      <w:szCs w:val="21"/>
                    </w:rPr>
                  </w:pPr>
                  <w:r>
                    <w:rPr>
                      <w:bCs/>
                      <w:color w:val="auto"/>
                      <w:sz w:val="21"/>
                      <w:szCs w:val="21"/>
                    </w:rPr>
                    <w:t>废水</w:t>
                  </w: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生活污水</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依托</w:t>
                  </w:r>
                  <w:r>
                    <w:rPr>
                      <w:rFonts w:hint="eastAsia"/>
                      <w:bCs/>
                      <w:color w:val="auto"/>
                      <w:sz w:val="21"/>
                      <w:szCs w:val="21"/>
                      <w:lang w:val="en-US" w:eastAsia="zh-CN"/>
                    </w:rPr>
                    <w:t>园区</w:t>
                  </w:r>
                  <w:r>
                    <w:rPr>
                      <w:bCs/>
                      <w:color w:val="auto"/>
                      <w:sz w:val="21"/>
                      <w:szCs w:val="21"/>
                    </w:rPr>
                    <w:t>化粪池处理后排放到市政污水管网</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w:t>
                  </w:r>
                </w:p>
              </w:tc>
              <w:tc>
                <w:tcPr>
                  <w:tcW w:w="643" w:type="pct"/>
                  <w:noWrap w:val="0"/>
                  <w:vAlign w:val="center"/>
                </w:tcPr>
                <w:p>
                  <w:pPr>
                    <w:snapToGrid w:val="0"/>
                    <w:spacing w:line="240" w:lineRule="auto"/>
                    <w:ind w:firstLine="0" w:firstLineChars="0"/>
                    <w:jc w:val="center"/>
                    <w:rPr>
                      <w:bCs/>
                      <w:color w:val="auto"/>
                      <w:sz w:val="21"/>
                      <w:szCs w:val="21"/>
                    </w:rPr>
                  </w:pPr>
                  <w:r>
                    <w:rPr>
                      <w:rFonts w:hint="eastAsia"/>
                      <w:bCs/>
                      <w:color w:val="auto"/>
                      <w:sz w:val="21"/>
                      <w:szCs w:val="21"/>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restart"/>
                  <w:noWrap w:val="0"/>
                  <w:vAlign w:val="center"/>
                </w:tcPr>
                <w:p>
                  <w:pPr>
                    <w:snapToGrid w:val="0"/>
                    <w:spacing w:line="240" w:lineRule="auto"/>
                    <w:ind w:firstLine="0" w:firstLineChars="0"/>
                    <w:jc w:val="center"/>
                    <w:rPr>
                      <w:bCs/>
                      <w:color w:val="auto"/>
                      <w:sz w:val="21"/>
                      <w:szCs w:val="21"/>
                    </w:rPr>
                  </w:pPr>
                  <w:r>
                    <w:rPr>
                      <w:bCs/>
                      <w:color w:val="auto"/>
                      <w:sz w:val="21"/>
                      <w:szCs w:val="21"/>
                    </w:rPr>
                    <w:t>固体废物</w:t>
                  </w: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一般工业固废</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一般工业固废暂存区（1处）</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1处</w:t>
                  </w:r>
                </w:p>
              </w:tc>
              <w:tc>
                <w:tcPr>
                  <w:tcW w:w="643" w:type="pct"/>
                  <w:noWrap w:val="0"/>
                  <w:vAlign w:val="center"/>
                </w:tcPr>
                <w:p>
                  <w:pPr>
                    <w:snapToGrid w:val="0"/>
                    <w:spacing w:line="240" w:lineRule="auto"/>
                    <w:ind w:firstLine="0" w:firstLineChars="0"/>
                    <w:jc w:val="center"/>
                    <w:rPr>
                      <w:bCs/>
                      <w:color w:val="auto"/>
                      <w:sz w:val="21"/>
                      <w:szCs w:val="21"/>
                    </w:rPr>
                  </w:pPr>
                  <w:r>
                    <w:rPr>
                      <w:bCs/>
                      <w:color w:val="auto"/>
                      <w:sz w:val="21"/>
                      <w:szCs w:val="21"/>
                    </w:rPr>
                    <w:t>2.5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vMerge w:val="continue"/>
                  <w:noWrap w:val="0"/>
                  <w:vAlign w:val="center"/>
                </w:tcPr>
                <w:p>
                  <w:pPr>
                    <w:snapToGrid w:val="0"/>
                    <w:spacing w:line="240" w:lineRule="auto"/>
                    <w:ind w:firstLine="0" w:firstLineChars="0"/>
                    <w:jc w:val="center"/>
                    <w:rPr>
                      <w:bCs/>
                      <w:color w:val="auto"/>
                      <w:sz w:val="21"/>
                      <w:szCs w:val="21"/>
                    </w:rPr>
                  </w:pP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危险废物</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专用密闭容器、托盘、危废暂存间（1间，</w:t>
                  </w:r>
                  <w:r>
                    <w:rPr>
                      <w:rFonts w:hint="eastAsia"/>
                      <w:bCs/>
                      <w:color w:val="auto"/>
                      <w:sz w:val="21"/>
                      <w:szCs w:val="21"/>
                      <w:lang w:val="en-US" w:eastAsia="zh-CN"/>
                    </w:rPr>
                    <w:t>1</w:t>
                  </w:r>
                  <w:r>
                    <w:rPr>
                      <w:bCs/>
                      <w:color w:val="auto"/>
                      <w:sz w:val="21"/>
                      <w:szCs w:val="21"/>
                    </w:rPr>
                    <w:t>0m</w:t>
                  </w:r>
                  <w:r>
                    <w:rPr>
                      <w:bCs/>
                      <w:color w:val="auto"/>
                      <w:sz w:val="21"/>
                      <w:szCs w:val="21"/>
                      <w:vertAlign w:val="superscript"/>
                    </w:rPr>
                    <w:t>2</w:t>
                  </w:r>
                  <w:r>
                    <w:rPr>
                      <w:bCs/>
                      <w:color w:val="auto"/>
                      <w:sz w:val="21"/>
                      <w:szCs w:val="21"/>
                    </w:rPr>
                    <w:t>）</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1个</w:t>
                  </w:r>
                </w:p>
              </w:tc>
              <w:tc>
                <w:tcPr>
                  <w:tcW w:w="643" w:type="pct"/>
                  <w:noWrap w:val="0"/>
                  <w:vAlign w:val="center"/>
                </w:tcPr>
                <w:p>
                  <w:pPr>
                    <w:snapToGrid w:val="0"/>
                    <w:spacing w:line="240" w:lineRule="auto"/>
                    <w:ind w:firstLine="0" w:firstLineChars="0"/>
                    <w:jc w:val="center"/>
                    <w:rPr>
                      <w:rFonts w:hint="eastAsia" w:eastAsia="宋体"/>
                      <w:bCs/>
                      <w:color w:val="auto"/>
                      <w:sz w:val="21"/>
                      <w:szCs w:val="21"/>
                      <w:lang w:eastAsia="zh-CN"/>
                    </w:rPr>
                  </w:pPr>
                  <w:r>
                    <w:rPr>
                      <w:rFonts w:hint="eastAsia"/>
                      <w:bCs/>
                      <w:color w:val="auto"/>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0" w:hRule="atLeast"/>
              </w:trPr>
              <w:tc>
                <w:tcPr>
                  <w:tcW w:w="405" w:type="pct"/>
                  <w:vMerge w:val="continue"/>
                  <w:noWrap w:val="0"/>
                  <w:vAlign w:val="center"/>
                </w:tcPr>
                <w:p>
                  <w:pPr>
                    <w:snapToGrid w:val="0"/>
                    <w:spacing w:line="240" w:lineRule="auto"/>
                    <w:ind w:firstLine="0" w:firstLineChars="0"/>
                    <w:jc w:val="center"/>
                    <w:rPr>
                      <w:bCs/>
                      <w:color w:val="auto"/>
                      <w:sz w:val="21"/>
                      <w:szCs w:val="21"/>
                    </w:rPr>
                  </w:pPr>
                </w:p>
              </w:tc>
              <w:tc>
                <w:tcPr>
                  <w:tcW w:w="955" w:type="pct"/>
                  <w:noWrap w:val="0"/>
                  <w:vAlign w:val="center"/>
                </w:tcPr>
                <w:p>
                  <w:pPr>
                    <w:snapToGrid w:val="0"/>
                    <w:spacing w:line="240" w:lineRule="auto"/>
                    <w:ind w:firstLine="0" w:firstLineChars="0"/>
                    <w:jc w:val="center"/>
                    <w:rPr>
                      <w:bCs/>
                      <w:color w:val="auto"/>
                      <w:sz w:val="21"/>
                      <w:szCs w:val="21"/>
                    </w:rPr>
                  </w:pPr>
                  <w:r>
                    <w:rPr>
                      <w:bCs/>
                      <w:color w:val="auto"/>
                      <w:sz w:val="21"/>
                      <w:szCs w:val="21"/>
                    </w:rPr>
                    <w:t>生活垃圾</w:t>
                  </w:r>
                </w:p>
              </w:tc>
              <w:tc>
                <w:tcPr>
                  <w:tcW w:w="2591" w:type="pct"/>
                  <w:noWrap w:val="0"/>
                  <w:vAlign w:val="center"/>
                </w:tcPr>
                <w:p>
                  <w:pPr>
                    <w:snapToGrid w:val="0"/>
                    <w:spacing w:line="240" w:lineRule="auto"/>
                    <w:ind w:firstLine="0" w:firstLineChars="0"/>
                    <w:jc w:val="center"/>
                    <w:rPr>
                      <w:bCs/>
                      <w:color w:val="auto"/>
                      <w:sz w:val="21"/>
                      <w:szCs w:val="21"/>
                    </w:rPr>
                  </w:pPr>
                  <w:r>
                    <w:rPr>
                      <w:bCs/>
                      <w:color w:val="auto"/>
                      <w:sz w:val="21"/>
                      <w:szCs w:val="21"/>
                    </w:rPr>
                    <w:t>生活垃圾桶</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若干</w:t>
                  </w:r>
                </w:p>
              </w:tc>
              <w:tc>
                <w:tcPr>
                  <w:tcW w:w="643" w:type="pct"/>
                  <w:noWrap w:val="0"/>
                  <w:vAlign w:val="center"/>
                </w:tcPr>
                <w:p>
                  <w:pPr>
                    <w:snapToGrid w:val="0"/>
                    <w:spacing w:line="240" w:lineRule="auto"/>
                    <w:ind w:firstLine="0" w:firstLineChars="0"/>
                    <w:jc w:val="center"/>
                    <w:rPr>
                      <w:rFonts w:hint="eastAsia" w:eastAsia="宋体"/>
                      <w:bCs/>
                      <w:color w:val="auto"/>
                      <w:sz w:val="21"/>
                      <w:szCs w:val="21"/>
                      <w:lang w:eastAsia="zh-CN"/>
                    </w:rPr>
                  </w:pPr>
                  <w:r>
                    <w:rPr>
                      <w:bCs/>
                      <w:color w:val="auto"/>
                      <w:sz w:val="21"/>
                      <w:szCs w:val="21"/>
                    </w:rPr>
                    <w:t>0.</w:t>
                  </w:r>
                  <w:r>
                    <w:rPr>
                      <w:rFonts w:hint="eastAsia"/>
                      <w:bCs/>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05" w:type="pct"/>
                  <w:noWrap w:val="0"/>
                  <w:vAlign w:val="center"/>
                </w:tcPr>
                <w:p>
                  <w:pPr>
                    <w:snapToGrid w:val="0"/>
                    <w:spacing w:line="240" w:lineRule="auto"/>
                    <w:ind w:firstLine="0" w:firstLineChars="0"/>
                    <w:jc w:val="center"/>
                    <w:rPr>
                      <w:bCs/>
                      <w:color w:val="auto"/>
                      <w:sz w:val="21"/>
                      <w:szCs w:val="21"/>
                    </w:rPr>
                  </w:pPr>
                  <w:r>
                    <w:rPr>
                      <w:bCs/>
                      <w:color w:val="auto"/>
                      <w:sz w:val="21"/>
                      <w:szCs w:val="21"/>
                    </w:rPr>
                    <w:t>合计</w:t>
                  </w:r>
                </w:p>
              </w:tc>
              <w:tc>
                <w:tcPr>
                  <w:tcW w:w="3546" w:type="pct"/>
                  <w:gridSpan w:val="2"/>
                  <w:noWrap w:val="0"/>
                  <w:vAlign w:val="center"/>
                </w:tcPr>
                <w:p>
                  <w:pPr>
                    <w:snapToGrid w:val="0"/>
                    <w:spacing w:line="240" w:lineRule="auto"/>
                    <w:ind w:firstLine="0" w:firstLineChars="0"/>
                    <w:jc w:val="center"/>
                    <w:rPr>
                      <w:bCs/>
                      <w:color w:val="auto"/>
                      <w:sz w:val="21"/>
                      <w:szCs w:val="21"/>
                    </w:rPr>
                  </w:pPr>
                  <w:r>
                    <w:rPr>
                      <w:bCs/>
                      <w:color w:val="auto"/>
                      <w:sz w:val="21"/>
                      <w:szCs w:val="21"/>
                    </w:rPr>
                    <w:t>/</w:t>
                  </w:r>
                </w:p>
              </w:tc>
              <w:tc>
                <w:tcPr>
                  <w:tcW w:w="404" w:type="pct"/>
                  <w:noWrap w:val="0"/>
                  <w:vAlign w:val="center"/>
                </w:tcPr>
                <w:p>
                  <w:pPr>
                    <w:snapToGrid w:val="0"/>
                    <w:spacing w:line="240" w:lineRule="auto"/>
                    <w:ind w:firstLine="0" w:firstLineChars="0"/>
                    <w:jc w:val="center"/>
                    <w:rPr>
                      <w:bCs/>
                      <w:color w:val="auto"/>
                      <w:sz w:val="21"/>
                      <w:szCs w:val="21"/>
                    </w:rPr>
                  </w:pPr>
                  <w:r>
                    <w:rPr>
                      <w:bCs/>
                      <w:color w:val="auto"/>
                      <w:sz w:val="21"/>
                      <w:szCs w:val="21"/>
                    </w:rPr>
                    <w:t>/</w:t>
                  </w:r>
                </w:p>
              </w:tc>
              <w:tc>
                <w:tcPr>
                  <w:tcW w:w="643" w:type="pct"/>
                  <w:noWrap w:val="0"/>
                  <w:vAlign w:val="center"/>
                </w:tcPr>
                <w:p>
                  <w:pPr>
                    <w:snapToGrid w:val="0"/>
                    <w:spacing w:line="240" w:lineRule="auto"/>
                    <w:ind w:firstLine="0" w:firstLineChars="0"/>
                    <w:jc w:val="center"/>
                    <w:rPr>
                      <w:rFonts w:hint="default" w:eastAsia="宋体"/>
                      <w:bCs/>
                      <w:color w:val="auto"/>
                      <w:sz w:val="21"/>
                      <w:szCs w:val="21"/>
                      <w:lang w:val="en-US" w:eastAsia="zh-CN"/>
                    </w:rPr>
                  </w:pPr>
                  <w:r>
                    <w:rPr>
                      <w:rFonts w:hint="eastAsia"/>
                      <w:bCs/>
                      <w:color w:val="auto"/>
                      <w:sz w:val="21"/>
                      <w:szCs w:val="21"/>
                      <w:lang w:val="en-US" w:eastAsia="zh-CN"/>
                    </w:rPr>
                    <w:t>65</w:t>
                  </w:r>
                </w:p>
              </w:tc>
            </w:tr>
          </w:tbl>
          <w:p>
            <w:pPr>
              <w:keepNext/>
              <w:spacing w:line="520" w:lineRule="exact"/>
              <w:outlineLvl w:val="1"/>
              <w:rPr>
                <w:color w:val="auto"/>
                <w:sz w:val="24"/>
              </w:rPr>
            </w:pPr>
          </w:p>
        </w:tc>
      </w:tr>
    </w:tbl>
    <w:p>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7" w:name="_Hlk54167917"/>
      <w:r>
        <w:rPr>
          <w:rFonts w:hint="eastAsia" w:ascii="黑体" w:hAnsi="黑体" w:eastAsia="黑体"/>
          <w:snapToGrid w:val="0"/>
          <w:color w:val="auto"/>
          <w:sz w:val="30"/>
          <w:szCs w:val="30"/>
        </w:rPr>
        <w:t>环境保护措施监督检查清单</w:t>
      </w:r>
      <w:bookmarkEnd w:id="7"/>
    </w:p>
    <w:tbl>
      <w:tblPr>
        <w:tblStyle w:val="2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958"/>
        <w:gridCol w:w="1100"/>
        <w:gridCol w:w="2380"/>
        <w:gridCol w:w="2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ind w:firstLine="0"/>
              <w:jc w:val="right"/>
              <w:textAlignment w:val="auto"/>
              <w:rPr>
                <w:b/>
                <w:color w:val="auto"/>
                <w:sz w:val="24"/>
              </w:rPr>
            </w:pPr>
            <w:r>
              <w:rPr>
                <w:b/>
                <w:color w:val="auto"/>
                <w:sz w:val="24"/>
              </w:rPr>
              <w:t>内容</w:t>
            </w:r>
          </w:p>
          <w:p>
            <w:pPr>
              <w:adjustRightInd w:val="0"/>
              <w:snapToGrid w:val="0"/>
              <w:rPr>
                <w:b/>
                <w:color w:val="auto"/>
                <w:sz w:val="24"/>
              </w:rPr>
            </w:pPr>
            <w:r>
              <w:rPr>
                <w:b/>
                <w:color w:val="auto"/>
                <w:sz w:val="24"/>
              </w:rPr>
              <w:t>要素</w:t>
            </w:r>
          </w:p>
        </w:tc>
        <w:tc>
          <w:tcPr>
            <w:tcW w:w="1958" w:type="dxa"/>
            <w:vAlign w:val="center"/>
          </w:tcPr>
          <w:p>
            <w:pPr>
              <w:adjustRightInd w:val="0"/>
              <w:snapToGrid w:val="0"/>
              <w:jc w:val="center"/>
              <w:rPr>
                <w:b/>
                <w:color w:val="auto"/>
                <w:sz w:val="24"/>
              </w:rPr>
            </w:pPr>
            <w:r>
              <w:rPr>
                <w:b/>
                <w:color w:val="auto"/>
                <w:sz w:val="24"/>
              </w:rPr>
              <w:t>排放口</w:t>
            </w:r>
            <w:r>
              <w:rPr>
                <w:rFonts w:hint="eastAsia"/>
                <w:b/>
                <w:color w:val="auto"/>
                <w:sz w:val="24"/>
                <w:lang w:eastAsia="zh-CN"/>
              </w:rPr>
              <w:t>（</w:t>
            </w:r>
            <w:r>
              <w:rPr>
                <w:b/>
                <w:color w:val="auto"/>
                <w:sz w:val="24"/>
              </w:rPr>
              <w:t>编号、</w:t>
            </w:r>
          </w:p>
          <w:p>
            <w:pPr>
              <w:adjustRightInd w:val="0"/>
              <w:snapToGrid w:val="0"/>
              <w:jc w:val="center"/>
              <w:rPr>
                <w:b/>
                <w:color w:val="auto"/>
                <w:sz w:val="24"/>
              </w:rPr>
            </w:pPr>
            <w:r>
              <w:rPr>
                <w:b/>
                <w:color w:val="auto"/>
                <w:sz w:val="24"/>
              </w:rPr>
              <w:t>名称</w:t>
            </w:r>
            <w:r>
              <w:rPr>
                <w:rFonts w:hint="eastAsia"/>
                <w:b/>
                <w:color w:val="auto"/>
                <w:sz w:val="24"/>
                <w:lang w:eastAsia="zh-CN"/>
              </w:rPr>
              <w:t>）</w:t>
            </w:r>
            <w:r>
              <w:rPr>
                <w:b/>
                <w:color w:val="auto"/>
                <w:sz w:val="24"/>
              </w:rPr>
              <w:t>/污染源</w:t>
            </w:r>
          </w:p>
        </w:tc>
        <w:tc>
          <w:tcPr>
            <w:tcW w:w="1100" w:type="dxa"/>
            <w:vAlign w:val="center"/>
          </w:tcPr>
          <w:p>
            <w:pPr>
              <w:adjustRightInd w:val="0"/>
              <w:snapToGrid w:val="0"/>
              <w:jc w:val="center"/>
              <w:rPr>
                <w:b/>
                <w:color w:val="auto"/>
                <w:sz w:val="24"/>
              </w:rPr>
            </w:pPr>
            <w:r>
              <w:rPr>
                <w:b/>
                <w:color w:val="auto"/>
                <w:sz w:val="24"/>
              </w:rPr>
              <w:t>污染物项目</w:t>
            </w:r>
          </w:p>
        </w:tc>
        <w:tc>
          <w:tcPr>
            <w:tcW w:w="2380" w:type="dxa"/>
            <w:vAlign w:val="center"/>
          </w:tcPr>
          <w:p>
            <w:pPr>
              <w:adjustRightInd w:val="0"/>
              <w:snapToGrid w:val="0"/>
              <w:jc w:val="center"/>
              <w:rPr>
                <w:b/>
                <w:color w:val="auto"/>
                <w:sz w:val="24"/>
              </w:rPr>
            </w:pPr>
            <w:r>
              <w:rPr>
                <w:b/>
                <w:color w:val="auto"/>
                <w:sz w:val="24"/>
              </w:rPr>
              <w:t>环境保护措施</w:t>
            </w:r>
          </w:p>
        </w:tc>
        <w:tc>
          <w:tcPr>
            <w:tcW w:w="2289" w:type="dxa"/>
            <w:vAlign w:val="center"/>
          </w:tcPr>
          <w:p>
            <w:pPr>
              <w:adjustRightInd w:val="0"/>
              <w:snapToGrid w:val="0"/>
              <w:jc w:val="center"/>
              <w:rPr>
                <w:b/>
                <w:color w:val="auto"/>
                <w:sz w:val="24"/>
              </w:rPr>
            </w:pPr>
            <w:r>
              <w:rPr>
                <w:b/>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Merge w:val="restart"/>
            <w:vAlign w:val="center"/>
          </w:tcPr>
          <w:p>
            <w:pPr>
              <w:adjustRightInd w:val="0"/>
              <w:snapToGrid w:val="0"/>
              <w:jc w:val="center"/>
              <w:rPr>
                <w:color w:val="auto"/>
                <w:sz w:val="24"/>
              </w:rPr>
            </w:pPr>
            <w:r>
              <w:rPr>
                <w:color w:val="auto"/>
                <w:sz w:val="24"/>
              </w:rPr>
              <w:t>大气环境</w:t>
            </w:r>
          </w:p>
        </w:tc>
        <w:tc>
          <w:tcPr>
            <w:tcW w:w="1958" w:type="dxa"/>
            <w:vMerge w:val="restart"/>
            <w:vAlign w:val="center"/>
          </w:tcPr>
          <w:p>
            <w:pPr>
              <w:adjustRightInd w:val="0"/>
              <w:snapToGrid w:val="0"/>
              <w:jc w:val="center"/>
              <w:rPr>
                <w:color w:val="auto"/>
                <w:sz w:val="24"/>
              </w:rPr>
            </w:pPr>
            <w:r>
              <w:rPr>
                <w:bCs/>
                <w:color w:val="auto"/>
                <w:sz w:val="24"/>
                <w:szCs w:val="24"/>
              </w:rPr>
              <w:t>回流焊、</w:t>
            </w:r>
            <w:r>
              <w:rPr>
                <w:rFonts w:hint="eastAsia" w:cs="Times New Roman"/>
                <w:color w:val="auto"/>
                <w:kern w:val="2"/>
                <w:sz w:val="24"/>
                <w:szCs w:val="24"/>
                <w:highlight w:val="none"/>
                <w:lang w:val="en-US" w:eastAsia="zh-CN" w:bidi="ar-SA"/>
              </w:rPr>
              <w:t>非高压热压夹层机</w:t>
            </w:r>
            <w:r>
              <w:rPr>
                <w:rFonts w:hint="eastAsia"/>
                <w:color w:val="auto"/>
                <w:sz w:val="24"/>
                <w:lang w:val="en-US" w:eastAsia="zh-CN"/>
              </w:rPr>
              <w:t>（</w:t>
            </w:r>
            <w:r>
              <w:rPr>
                <w:rFonts w:hint="eastAsia"/>
                <w:color w:val="auto"/>
                <w:sz w:val="24"/>
              </w:rPr>
              <w:t>DA001</w:t>
            </w:r>
            <w:r>
              <w:rPr>
                <w:rFonts w:hint="eastAsia"/>
                <w:color w:val="auto"/>
                <w:sz w:val="24"/>
                <w:lang w:val="en-US" w:eastAsia="zh-CN"/>
              </w:rPr>
              <w:t>）</w:t>
            </w:r>
          </w:p>
        </w:tc>
        <w:tc>
          <w:tcPr>
            <w:tcW w:w="1100" w:type="dxa"/>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非甲烷总烃</w:t>
            </w:r>
          </w:p>
        </w:tc>
        <w:tc>
          <w:tcPr>
            <w:tcW w:w="2380" w:type="dxa"/>
            <w:vMerge w:val="restart"/>
            <w:vAlign w:val="center"/>
          </w:tcPr>
          <w:p>
            <w:pPr>
              <w:adjustRightInd w:val="0"/>
              <w:snapToGrid w:val="0"/>
              <w:jc w:val="center"/>
              <w:rPr>
                <w:color w:val="auto"/>
                <w:sz w:val="24"/>
              </w:rPr>
            </w:pPr>
            <w:r>
              <w:rPr>
                <w:rFonts w:hint="eastAsia"/>
                <w:color w:val="auto"/>
                <w:sz w:val="24"/>
                <w:lang w:val="en-US" w:eastAsia="zh-CN"/>
              </w:rPr>
              <w:t>3M过滤棉+二级活性炭吸附箱</w:t>
            </w:r>
            <w:r>
              <w:rPr>
                <w:rFonts w:hint="eastAsia"/>
                <w:color w:val="auto"/>
                <w:sz w:val="24"/>
              </w:rPr>
              <w:t>+</w:t>
            </w:r>
            <w:r>
              <w:rPr>
                <w:rFonts w:hint="eastAsia"/>
                <w:color w:val="auto"/>
                <w:sz w:val="24"/>
                <w:lang w:val="en-US" w:eastAsia="zh-CN"/>
              </w:rPr>
              <w:t>2</w:t>
            </w:r>
            <w:r>
              <w:rPr>
                <w:rFonts w:hint="eastAsia"/>
                <w:color w:val="auto"/>
                <w:sz w:val="24"/>
              </w:rPr>
              <w:t>5m高排气筒</w:t>
            </w:r>
          </w:p>
        </w:tc>
        <w:tc>
          <w:tcPr>
            <w:tcW w:w="2289" w:type="dxa"/>
            <w:vMerge w:val="restart"/>
            <w:tcMar>
              <w:left w:w="0" w:type="dxa"/>
              <w:right w:w="0" w:type="dxa"/>
            </w:tcMar>
            <w:vAlign w:val="center"/>
          </w:tcPr>
          <w:p>
            <w:pPr>
              <w:adjustRightInd w:val="0"/>
              <w:snapToGrid w:val="0"/>
              <w:jc w:val="center"/>
              <w:rPr>
                <w:color w:val="auto"/>
                <w:sz w:val="24"/>
              </w:rPr>
            </w:pPr>
            <w:r>
              <w:rPr>
                <w:rFonts w:hint="eastAsia"/>
                <w:color w:val="auto"/>
                <w:sz w:val="24"/>
                <w:szCs w:val="32"/>
              </w:rPr>
              <w:t>《大气污染物综合排放标准》（G</w:t>
            </w:r>
            <w:r>
              <w:rPr>
                <w:color w:val="auto"/>
                <w:sz w:val="24"/>
                <w:szCs w:val="32"/>
              </w:rPr>
              <w:t>B16297-1996</w:t>
            </w:r>
            <w:r>
              <w:rPr>
                <w:rFonts w:hint="eastAsia"/>
                <w:color w:val="auto"/>
                <w:sz w:val="24"/>
                <w:szCs w:val="32"/>
              </w:rPr>
              <w:t>）中</w:t>
            </w:r>
            <w:r>
              <w:rPr>
                <w:color w:val="auto"/>
                <w:sz w:val="24"/>
                <w:szCs w:val="32"/>
              </w:rPr>
              <w:t>2</w:t>
            </w:r>
            <w:r>
              <w:rPr>
                <w:rFonts w:hint="eastAsia"/>
                <w:color w:val="auto"/>
                <w:sz w:val="24"/>
                <w:szCs w:val="32"/>
                <w:lang w:val="en-US" w:eastAsia="zh-CN"/>
              </w:rPr>
              <w:t>5</w:t>
            </w:r>
            <w:r>
              <w:rPr>
                <w:color w:val="auto"/>
                <w:sz w:val="24"/>
                <w:szCs w:val="32"/>
              </w:rPr>
              <w:t>m</w:t>
            </w:r>
            <w:r>
              <w:rPr>
                <w:rFonts w:hint="eastAsia"/>
                <w:color w:val="auto"/>
                <w:sz w:val="24"/>
                <w:szCs w:val="32"/>
              </w:rPr>
              <w:t>高排气筒的二级标准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Merge w:val="continue"/>
            <w:vAlign w:val="center"/>
          </w:tcPr>
          <w:p>
            <w:pPr>
              <w:adjustRightInd w:val="0"/>
              <w:snapToGrid w:val="0"/>
              <w:jc w:val="center"/>
              <w:rPr>
                <w:color w:val="auto"/>
                <w:sz w:val="24"/>
              </w:rPr>
            </w:pPr>
          </w:p>
        </w:tc>
        <w:tc>
          <w:tcPr>
            <w:tcW w:w="1958" w:type="dxa"/>
            <w:vMerge w:val="continue"/>
            <w:vAlign w:val="center"/>
          </w:tcPr>
          <w:p>
            <w:pPr>
              <w:adjustRightInd w:val="0"/>
              <w:snapToGrid w:val="0"/>
              <w:jc w:val="center"/>
              <w:rPr>
                <w:rFonts w:hint="eastAsia"/>
                <w:color w:val="auto"/>
                <w:sz w:val="24"/>
                <w:lang w:val="en-US" w:eastAsia="zh-CN"/>
              </w:rPr>
            </w:pPr>
          </w:p>
        </w:tc>
        <w:tc>
          <w:tcPr>
            <w:tcW w:w="1100" w:type="dxa"/>
            <w:vAlign w:val="center"/>
          </w:tcPr>
          <w:p>
            <w:pPr>
              <w:adjustRightInd w:val="0"/>
              <w:snapToGrid w:val="0"/>
              <w:jc w:val="center"/>
              <w:rPr>
                <w:rFonts w:hint="default"/>
                <w:color w:val="auto"/>
                <w:sz w:val="24"/>
                <w:lang w:val="en-US" w:eastAsia="zh-CN"/>
              </w:rPr>
            </w:pPr>
            <w:r>
              <w:rPr>
                <w:rFonts w:hint="eastAsia"/>
                <w:color w:val="auto"/>
                <w:sz w:val="24"/>
                <w:lang w:val="en-US" w:eastAsia="zh-CN"/>
              </w:rPr>
              <w:t>颗粒物、含锡及其化合物</w:t>
            </w:r>
          </w:p>
        </w:tc>
        <w:tc>
          <w:tcPr>
            <w:tcW w:w="2380" w:type="dxa"/>
            <w:vMerge w:val="continue"/>
            <w:vAlign w:val="center"/>
          </w:tcPr>
          <w:p>
            <w:pPr>
              <w:adjustRightInd w:val="0"/>
              <w:snapToGrid w:val="0"/>
              <w:jc w:val="center"/>
              <w:rPr>
                <w:rFonts w:hint="eastAsia"/>
                <w:color w:val="auto"/>
                <w:sz w:val="24"/>
                <w:lang w:val="en-US" w:eastAsia="zh-CN"/>
              </w:rPr>
            </w:pPr>
          </w:p>
        </w:tc>
        <w:tc>
          <w:tcPr>
            <w:tcW w:w="2289" w:type="dxa"/>
            <w:vMerge w:val="continue"/>
            <w:tcMar>
              <w:left w:w="0" w:type="dxa"/>
              <w:right w:w="0" w:type="dxa"/>
            </w:tcMar>
            <w:vAlign w:val="center"/>
          </w:tcPr>
          <w:p>
            <w:pPr>
              <w:adjustRightInd w:val="0"/>
              <w:snapToGrid w:val="0"/>
              <w:jc w:val="center"/>
              <w:rPr>
                <w:rFonts w:hint="eastAsia"/>
                <w:color w:val="auto"/>
                <w:sz w:val="24"/>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Merge w:val="continue"/>
            <w:vAlign w:val="center"/>
          </w:tcPr>
          <w:p>
            <w:pPr>
              <w:adjustRightInd w:val="0"/>
              <w:snapToGrid w:val="0"/>
              <w:jc w:val="center"/>
              <w:rPr>
                <w:color w:val="auto"/>
                <w:sz w:val="24"/>
              </w:rPr>
            </w:pPr>
          </w:p>
        </w:tc>
        <w:tc>
          <w:tcPr>
            <w:tcW w:w="1958" w:type="dxa"/>
            <w:vMerge w:val="restart"/>
            <w:vAlign w:val="center"/>
          </w:tcPr>
          <w:p>
            <w:pPr>
              <w:adjustRightInd w:val="0"/>
              <w:snapToGrid w:val="0"/>
              <w:jc w:val="center"/>
              <w:rPr>
                <w:rFonts w:hint="eastAsia" w:eastAsia="宋体"/>
                <w:color w:val="auto"/>
                <w:sz w:val="24"/>
                <w:lang w:val="en-US" w:eastAsia="zh-CN"/>
              </w:rPr>
            </w:pPr>
            <w:r>
              <w:rPr>
                <w:rFonts w:hint="eastAsia"/>
                <w:color w:val="auto"/>
                <w:sz w:val="24"/>
                <w:lang w:val="en-US" w:eastAsia="zh-CN"/>
              </w:rPr>
              <w:t>厂界</w:t>
            </w:r>
          </w:p>
        </w:tc>
        <w:tc>
          <w:tcPr>
            <w:tcW w:w="1100" w:type="dxa"/>
            <w:vAlign w:val="center"/>
          </w:tcPr>
          <w:p>
            <w:pPr>
              <w:adjustRightInd w:val="0"/>
              <w:snapToGrid w:val="0"/>
              <w:jc w:val="center"/>
              <w:rPr>
                <w:color w:val="auto"/>
                <w:sz w:val="24"/>
              </w:rPr>
            </w:pPr>
            <w:r>
              <w:rPr>
                <w:rFonts w:hint="eastAsia"/>
                <w:color w:val="auto"/>
                <w:sz w:val="24"/>
                <w:lang w:val="en-US" w:eastAsia="zh-CN"/>
              </w:rPr>
              <w:t>非甲烷总烃</w:t>
            </w:r>
          </w:p>
        </w:tc>
        <w:tc>
          <w:tcPr>
            <w:tcW w:w="2380" w:type="dxa"/>
            <w:vMerge w:val="restart"/>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移动式焊烟净化器+车间封闭</w:t>
            </w:r>
          </w:p>
        </w:tc>
        <w:tc>
          <w:tcPr>
            <w:tcW w:w="2289" w:type="dxa"/>
            <w:vMerge w:val="restart"/>
            <w:tcMar>
              <w:left w:w="0" w:type="dxa"/>
              <w:right w:w="0" w:type="dxa"/>
            </w:tcMar>
            <w:vAlign w:val="center"/>
          </w:tcPr>
          <w:p>
            <w:pPr>
              <w:adjustRightInd w:val="0"/>
              <w:snapToGrid w:val="0"/>
              <w:jc w:val="center"/>
              <w:rPr>
                <w:color w:val="auto"/>
                <w:sz w:val="24"/>
              </w:rPr>
            </w:pPr>
            <w:r>
              <w:rPr>
                <w:rFonts w:hint="eastAsia"/>
                <w:color w:val="auto"/>
                <w:sz w:val="24"/>
                <w:szCs w:val="32"/>
              </w:rPr>
              <w:t>《大气污染物综合排放标准》（G</w:t>
            </w:r>
            <w:r>
              <w:rPr>
                <w:color w:val="auto"/>
                <w:sz w:val="24"/>
                <w:szCs w:val="32"/>
              </w:rPr>
              <w:t>B16297-1996</w:t>
            </w:r>
            <w:r>
              <w:rPr>
                <w:rFonts w:hint="eastAsia"/>
                <w:color w:val="auto"/>
                <w:sz w:val="24"/>
                <w:szCs w:val="32"/>
              </w:rPr>
              <w:t>）中</w:t>
            </w:r>
            <w:r>
              <w:rPr>
                <w:rFonts w:hint="eastAsia"/>
                <w:color w:val="auto"/>
                <w:sz w:val="24"/>
                <w:szCs w:val="32"/>
                <w:lang w:val="en-US" w:eastAsia="zh-CN"/>
              </w:rPr>
              <w:t>无组织排放监控点浓度限值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Merge w:val="continue"/>
            <w:vAlign w:val="center"/>
          </w:tcPr>
          <w:p>
            <w:pPr>
              <w:adjustRightInd w:val="0"/>
              <w:snapToGrid w:val="0"/>
              <w:jc w:val="center"/>
              <w:rPr>
                <w:color w:val="auto"/>
                <w:sz w:val="24"/>
              </w:rPr>
            </w:pPr>
          </w:p>
        </w:tc>
        <w:tc>
          <w:tcPr>
            <w:tcW w:w="1958" w:type="dxa"/>
            <w:vMerge w:val="continue"/>
            <w:vAlign w:val="center"/>
          </w:tcPr>
          <w:p>
            <w:pPr>
              <w:adjustRightInd w:val="0"/>
              <w:snapToGrid w:val="0"/>
              <w:jc w:val="center"/>
              <w:rPr>
                <w:color w:val="auto"/>
                <w:sz w:val="24"/>
              </w:rPr>
            </w:pPr>
          </w:p>
        </w:tc>
        <w:tc>
          <w:tcPr>
            <w:tcW w:w="1100" w:type="dxa"/>
            <w:vAlign w:val="center"/>
          </w:tcPr>
          <w:p>
            <w:pPr>
              <w:adjustRightInd w:val="0"/>
              <w:snapToGrid w:val="0"/>
              <w:jc w:val="center"/>
              <w:rPr>
                <w:rFonts w:hint="eastAsia" w:eastAsia="宋体"/>
                <w:color w:val="auto"/>
                <w:sz w:val="24"/>
                <w:lang w:val="en-US" w:eastAsia="zh-CN"/>
              </w:rPr>
            </w:pPr>
            <w:r>
              <w:rPr>
                <w:rFonts w:hint="eastAsia"/>
                <w:color w:val="auto"/>
                <w:sz w:val="24"/>
                <w:lang w:val="en-US" w:eastAsia="zh-CN"/>
              </w:rPr>
              <w:t>颗粒物、含锡及其化合物</w:t>
            </w:r>
          </w:p>
        </w:tc>
        <w:tc>
          <w:tcPr>
            <w:tcW w:w="2380" w:type="dxa"/>
            <w:vMerge w:val="continue"/>
            <w:vAlign w:val="center"/>
          </w:tcPr>
          <w:p>
            <w:pPr>
              <w:adjustRightInd w:val="0"/>
              <w:snapToGrid w:val="0"/>
              <w:jc w:val="center"/>
              <w:rPr>
                <w:rFonts w:hint="default" w:eastAsia="宋体"/>
                <w:color w:val="auto"/>
                <w:sz w:val="24"/>
                <w:lang w:val="en-US" w:eastAsia="zh-CN"/>
              </w:rPr>
            </w:pPr>
          </w:p>
        </w:tc>
        <w:tc>
          <w:tcPr>
            <w:tcW w:w="2289" w:type="dxa"/>
            <w:vMerge w:val="continue"/>
            <w:tcMar>
              <w:left w:w="0" w:type="dxa"/>
              <w:right w:w="0" w:type="dxa"/>
            </w:tcMar>
            <w:vAlign w:val="center"/>
          </w:tcPr>
          <w:p>
            <w:pPr>
              <w:wordWrap w:val="0"/>
              <w:adjustRightInd w:val="0"/>
              <w:snapToGrid w:val="0"/>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73" w:type="dxa"/>
            <w:vAlign w:val="center"/>
          </w:tcPr>
          <w:p>
            <w:pPr>
              <w:adjustRightInd w:val="0"/>
              <w:snapToGrid w:val="0"/>
              <w:jc w:val="center"/>
              <w:rPr>
                <w:color w:val="auto"/>
                <w:sz w:val="24"/>
              </w:rPr>
            </w:pPr>
            <w:r>
              <w:rPr>
                <w:color w:val="auto"/>
                <w:sz w:val="24"/>
              </w:rPr>
              <w:t>地表水环境</w:t>
            </w:r>
          </w:p>
        </w:tc>
        <w:tc>
          <w:tcPr>
            <w:tcW w:w="1958" w:type="dxa"/>
            <w:vAlign w:val="center"/>
          </w:tcPr>
          <w:p>
            <w:pPr>
              <w:adjustRightInd w:val="0"/>
              <w:snapToGrid w:val="0"/>
              <w:jc w:val="center"/>
              <w:rPr>
                <w:color w:val="auto"/>
                <w:sz w:val="24"/>
              </w:rPr>
            </w:pPr>
            <w:r>
              <w:rPr>
                <w:rFonts w:hint="eastAsia"/>
                <w:color w:val="auto"/>
                <w:sz w:val="24"/>
              </w:rPr>
              <w:t>生活污水排放口</w:t>
            </w:r>
          </w:p>
        </w:tc>
        <w:tc>
          <w:tcPr>
            <w:tcW w:w="1100" w:type="dxa"/>
            <w:vAlign w:val="center"/>
          </w:tcPr>
          <w:p>
            <w:pPr>
              <w:snapToGrid w:val="0"/>
              <w:jc w:val="center"/>
              <w:rPr>
                <w:color w:val="auto"/>
                <w:sz w:val="24"/>
              </w:rPr>
            </w:pPr>
            <w:r>
              <w:rPr>
                <w:color w:val="auto"/>
                <w:sz w:val="24"/>
              </w:rPr>
              <w:t>COD</w:t>
            </w:r>
          </w:p>
          <w:p>
            <w:pPr>
              <w:snapToGrid w:val="0"/>
              <w:jc w:val="center"/>
              <w:rPr>
                <w:color w:val="auto"/>
                <w:sz w:val="24"/>
              </w:rPr>
            </w:pPr>
            <w:r>
              <w:rPr>
                <w:color w:val="auto"/>
                <w:sz w:val="24"/>
              </w:rPr>
              <w:t>BOD</w:t>
            </w:r>
            <w:r>
              <w:rPr>
                <w:color w:val="auto"/>
                <w:sz w:val="24"/>
                <w:vertAlign w:val="subscript"/>
              </w:rPr>
              <w:t>5</w:t>
            </w:r>
          </w:p>
          <w:p>
            <w:pPr>
              <w:snapToGrid w:val="0"/>
              <w:jc w:val="center"/>
              <w:rPr>
                <w:color w:val="auto"/>
                <w:sz w:val="24"/>
              </w:rPr>
            </w:pPr>
            <w:r>
              <w:rPr>
                <w:color w:val="auto"/>
                <w:sz w:val="24"/>
              </w:rPr>
              <w:t>SS</w:t>
            </w:r>
          </w:p>
          <w:p>
            <w:pPr>
              <w:snapToGrid w:val="0"/>
              <w:jc w:val="center"/>
              <w:rPr>
                <w:rFonts w:eastAsiaTheme="majorEastAsia"/>
                <w:color w:val="auto"/>
              </w:rPr>
            </w:pPr>
            <w:r>
              <w:rPr>
                <w:color w:val="auto"/>
                <w:sz w:val="24"/>
              </w:rPr>
              <w:t>NH</w:t>
            </w:r>
            <w:r>
              <w:rPr>
                <w:color w:val="auto"/>
                <w:sz w:val="24"/>
                <w:vertAlign w:val="subscript"/>
              </w:rPr>
              <w:t>3</w:t>
            </w:r>
            <w:r>
              <w:rPr>
                <w:color w:val="auto"/>
                <w:sz w:val="24"/>
              </w:rPr>
              <w:t>-N</w:t>
            </w:r>
          </w:p>
        </w:tc>
        <w:tc>
          <w:tcPr>
            <w:tcW w:w="2380" w:type="dxa"/>
            <w:tcMar>
              <w:left w:w="28" w:type="dxa"/>
              <w:right w:w="28" w:type="dxa"/>
            </w:tcMar>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经</w:t>
            </w:r>
            <w:r>
              <w:rPr>
                <w:rFonts w:hint="eastAsia"/>
                <w:color w:val="auto"/>
                <w:sz w:val="24"/>
              </w:rPr>
              <w:t>化粪池</w:t>
            </w:r>
            <w:r>
              <w:rPr>
                <w:rFonts w:hint="eastAsia"/>
                <w:color w:val="auto"/>
                <w:sz w:val="24"/>
                <w:lang w:val="en-US" w:eastAsia="zh-CN"/>
              </w:rPr>
              <w:t>预</w:t>
            </w:r>
            <w:r>
              <w:rPr>
                <w:rFonts w:hint="eastAsia"/>
                <w:color w:val="auto"/>
                <w:sz w:val="24"/>
              </w:rPr>
              <w:t>处理后</w:t>
            </w:r>
            <w:r>
              <w:rPr>
                <w:rFonts w:hint="eastAsia"/>
                <w:color w:val="auto"/>
                <w:sz w:val="24"/>
                <w:lang w:val="en-US" w:eastAsia="zh-CN"/>
              </w:rPr>
              <w:t>排放到市政污水管网</w:t>
            </w:r>
          </w:p>
        </w:tc>
        <w:tc>
          <w:tcPr>
            <w:tcW w:w="2289" w:type="dxa"/>
            <w:tcMar>
              <w:left w:w="0" w:type="dxa"/>
              <w:right w:w="0" w:type="dxa"/>
            </w:tcMar>
            <w:vAlign w:val="center"/>
          </w:tcPr>
          <w:p>
            <w:pPr>
              <w:adjustRightInd w:val="0"/>
              <w:snapToGrid w:val="0"/>
              <w:jc w:val="center"/>
              <w:rPr>
                <w:color w:val="auto"/>
                <w:sz w:val="24"/>
              </w:rPr>
            </w:pPr>
            <w:r>
              <w:rPr>
                <w:rFonts w:hint="eastAsia"/>
                <w:color w:val="auto"/>
                <w:sz w:val="24"/>
                <w:lang w:val="en-US" w:eastAsia="zh-CN"/>
              </w:rPr>
              <w:t>《城市污水再生利用 绿地灌溉水质》（GB/T25499-2010）表1限值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Align w:val="center"/>
          </w:tcPr>
          <w:p>
            <w:pPr>
              <w:adjustRightInd w:val="0"/>
              <w:snapToGrid w:val="0"/>
              <w:jc w:val="center"/>
              <w:rPr>
                <w:color w:val="auto"/>
                <w:sz w:val="24"/>
              </w:rPr>
            </w:pPr>
            <w:r>
              <w:rPr>
                <w:color w:val="auto"/>
                <w:sz w:val="24"/>
              </w:rPr>
              <w:t>声环境</w:t>
            </w:r>
          </w:p>
        </w:tc>
        <w:tc>
          <w:tcPr>
            <w:tcW w:w="1958" w:type="dxa"/>
            <w:vAlign w:val="center"/>
          </w:tcPr>
          <w:p>
            <w:pPr>
              <w:adjustRightInd w:val="0"/>
              <w:snapToGrid w:val="0"/>
              <w:jc w:val="center"/>
              <w:rPr>
                <w:color w:val="auto"/>
                <w:sz w:val="24"/>
              </w:rPr>
            </w:pPr>
            <w:r>
              <w:rPr>
                <w:rFonts w:hint="eastAsia"/>
                <w:color w:val="auto"/>
                <w:sz w:val="24"/>
              </w:rPr>
              <w:t>生产设备</w:t>
            </w:r>
          </w:p>
        </w:tc>
        <w:tc>
          <w:tcPr>
            <w:tcW w:w="1100" w:type="dxa"/>
            <w:vAlign w:val="center"/>
          </w:tcPr>
          <w:p>
            <w:pPr>
              <w:adjustRightInd w:val="0"/>
              <w:snapToGrid w:val="0"/>
              <w:jc w:val="center"/>
              <w:rPr>
                <w:color w:val="auto"/>
                <w:sz w:val="24"/>
                <w:szCs w:val="24"/>
              </w:rPr>
            </w:pPr>
            <w:r>
              <w:rPr>
                <w:rFonts w:hint="eastAsia"/>
                <w:color w:val="auto"/>
                <w:sz w:val="24"/>
                <w:szCs w:val="24"/>
              </w:rPr>
              <w:t>噪声</w:t>
            </w:r>
          </w:p>
        </w:tc>
        <w:tc>
          <w:tcPr>
            <w:tcW w:w="2380" w:type="dxa"/>
            <w:tcMar>
              <w:left w:w="0" w:type="dxa"/>
              <w:right w:w="0" w:type="dxa"/>
            </w:tcMar>
            <w:vAlign w:val="center"/>
          </w:tcPr>
          <w:p>
            <w:pPr>
              <w:adjustRightInd w:val="0"/>
              <w:snapToGrid w:val="0"/>
              <w:jc w:val="center"/>
              <w:rPr>
                <w:color w:val="auto"/>
                <w:sz w:val="24"/>
                <w:szCs w:val="24"/>
              </w:rPr>
            </w:pPr>
            <w:r>
              <w:rPr>
                <w:rFonts w:hint="eastAsia"/>
                <w:color w:val="auto"/>
                <w:sz w:val="24"/>
                <w:szCs w:val="24"/>
              </w:rPr>
              <w:t>选择低噪声设备，</w:t>
            </w:r>
            <w:r>
              <w:rPr>
                <w:color w:val="auto"/>
                <w:sz w:val="24"/>
                <w:szCs w:val="24"/>
              </w:rPr>
              <w:t>基础减震，定期检查更换老旧设备</w:t>
            </w:r>
            <w:r>
              <w:rPr>
                <w:rFonts w:hint="eastAsia"/>
                <w:color w:val="auto"/>
                <w:sz w:val="24"/>
                <w:szCs w:val="24"/>
              </w:rPr>
              <w:t>，封闭厂房、</w:t>
            </w:r>
            <w:r>
              <w:rPr>
                <w:rFonts w:hint="eastAsia"/>
                <w:color w:val="auto"/>
                <w:sz w:val="24"/>
                <w:szCs w:val="24"/>
                <w:lang w:val="en-US" w:eastAsia="zh-CN"/>
              </w:rPr>
              <w:t>排风机单独设置排烟机房</w:t>
            </w:r>
          </w:p>
        </w:tc>
        <w:tc>
          <w:tcPr>
            <w:tcW w:w="2289" w:type="dxa"/>
            <w:tcMar>
              <w:left w:w="0" w:type="dxa"/>
              <w:right w:w="0" w:type="dxa"/>
            </w:tcMar>
            <w:vAlign w:val="center"/>
          </w:tcPr>
          <w:p>
            <w:pPr>
              <w:adjustRightInd w:val="0"/>
              <w:snapToGrid w:val="0"/>
              <w:jc w:val="center"/>
              <w:rPr>
                <w:color w:val="auto"/>
                <w:sz w:val="24"/>
              </w:rPr>
            </w:pPr>
            <w:r>
              <w:rPr>
                <w:bCs/>
                <w:color w:val="auto"/>
                <w:sz w:val="24"/>
              </w:rPr>
              <w:t>《工业企业厂界环境噪声排放标准》</w:t>
            </w:r>
            <w:r>
              <w:rPr>
                <w:rFonts w:hint="eastAsia"/>
                <w:bCs/>
                <w:color w:val="auto"/>
                <w:sz w:val="24"/>
                <w:lang w:eastAsia="zh-CN"/>
              </w:rPr>
              <w:t>（</w:t>
            </w:r>
            <w:r>
              <w:rPr>
                <w:bCs/>
                <w:color w:val="auto"/>
                <w:sz w:val="24"/>
              </w:rPr>
              <w:t>GB12348-2008</w:t>
            </w:r>
            <w:r>
              <w:rPr>
                <w:rFonts w:hint="eastAsia"/>
                <w:bCs/>
                <w:color w:val="auto"/>
                <w:sz w:val="24"/>
                <w:lang w:eastAsia="zh-CN"/>
              </w:rPr>
              <w:t>）</w:t>
            </w:r>
            <w:r>
              <w:rPr>
                <w:bCs/>
                <w:color w:val="auto"/>
                <w:sz w:val="24"/>
              </w:rPr>
              <w:t>中</w:t>
            </w:r>
            <w:r>
              <w:rPr>
                <w:rFonts w:hint="eastAsia"/>
                <w:bCs/>
                <w:color w:val="auto"/>
                <w:sz w:val="24"/>
              </w:rPr>
              <w:t>3</w:t>
            </w:r>
            <w:r>
              <w:rPr>
                <w:bCs/>
                <w:color w:val="auto"/>
                <w:sz w:val="24"/>
              </w:rPr>
              <w:t>类区标准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3" w:type="dxa"/>
            <w:vAlign w:val="center"/>
          </w:tcPr>
          <w:p>
            <w:pPr>
              <w:adjustRightInd w:val="0"/>
              <w:snapToGrid w:val="0"/>
              <w:jc w:val="center"/>
              <w:rPr>
                <w:color w:val="auto"/>
                <w:sz w:val="24"/>
              </w:rPr>
            </w:pPr>
            <w:r>
              <w:rPr>
                <w:color w:val="auto"/>
                <w:sz w:val="24"/>
              </w:rPr>
              <w:t>电磁辐射</w:t>
            </w:r>
          </w:p>
        </w:tc>
        <w:tc>
          <w:tcPr>
            <w:tcW w:w="1958" w:type="dxa"/>
            <w:vAlign w:val="center"/>
          </w:tcPr>
          <w:p>
            <w:pPr>
              <w:adjustRightInd w:val="0"/>
              <w:snapToGrid w:val="0"/>
              <w:jc w:val="center"/>
              <w:rPr>
                <w:color w:val="auto"/>
                <w:sz w:val="24"/>
              </w:rPr>
            </w:pPr>
            <w:r>
              <w:rPr>
                <w:rFonts w:hint="eastAsia"/>
                <w:color w:val="auto"/>
                <w:sz w:val="24"/>
              </w:rPr>
              <w:t>/</w:t>
            </w:r>
          </w:p>
        </w:tc>
        <w:tc>
          <w:tcPr>
            <w:tcW w:w="1100" w:type="dxa"/>
            <w:vAlign w:val="center"/>
          </w:tcPr>
          <w:p>
            <w:pPr>
              <w:adjustRightInd w:val="0"/>
              <w:snapToGrid w:val="0"/>
              <w:jc w:val="center"/>
              <w:rPr>
                <w:color w:val="auto"/>
                <w:sz w:val="24"/>
              </w:rPr>
            </w:pPr>
            <w:r>
              <w:rPr>
                <w:rFonts w:hint="eastAsia"/>
                <w:color w:val="auto"/>
                <w:sz w:val="24"/>
              </w:rPr>
              <w:t>/</w:t>
            </w:r>
          </w:p>
        </w:tc>
        <w:tc>
          <w:tcPr>
            <w:tcW w:w="2380" w:type="dxa"/>
            <w:vAlign w:val="center"/>
          </w:tcPr>
          <w:p>
            <w:pPr>
              <w:adjustRightInd w:val="0"/>
              <w:snapToGrid w:val="0"/>
              <w:jc w:val="center"/>
              <w:rPr>
                <w:color w:val="auto"/>
                <w:sz w:val="24"/>
              </w:rPr>
            </w:pPr>
            <w:r>
              <w:rPr>
                <w:rFonts w:hint="eastAsia"/>
                <w:color w:val="auto"/>
                <w:sz w:val="24"/>
              </w:rPr>
              <w:t>/</w:t>
            </w:r>
          </w:p>
        </w:tc>
        <w:tc>
          <w:tcPr>
            <w:tcW w:w="2289" w:type="dxa"/>
            <w:vAlign w:val="center"/>
          </w:tcPr>
          <w:p>
            <w:pPr>
              <w:adjustRightInd w:val="0"/>
              <w:snapToGrid w:val="0"/>
              <w:jc w:val="center"/>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73" w:type="dxa"/>
            <w:vAlign w:val="center"/>
          </w:tcPr>
          <w:p>
            <w:pPr>
              <w:adjustRightInd w:val="0"/>
              <w:snapToGrid w:val="0"/>
              <w:jc w:val="center"/>
              <w:rPr>
                <w:color w:val="auto"/>
                <w:sz w:val="24"/>
              </w:rPr>
            </w:pPr>
            <w:r>
              <w:rPr>
                <w:color w:val="auto"/>
                <w:sz w:val="24"/>
              </w:rPr>
              <w:t>固体废物</w:t>
            </w:r>
          </w:p>
        </w:tc>
        <w:tc>
          <w:tcPr>
            <w:tcW w:w="7727" w:type="dxa"/>
            <w:gridSpan w:val="4"/>
            <w:vAlign w:val="center"/>
          </w:tcPr>
          <w:p>
            <w:pPr>
              <w:adjustRightInd w:val="0"/>
              <w:snapToGrid w:val="0"/>
              <w:jc w:val="center"/>
              <w:rPr>
                <w:b/>
                <w:bCs/>
                <w:color w:val="auto"/>
                <w:kern w:val="0"/>
                <w:sz w:val="24"/>
              </w:rPr>
            </w:pPr>
            <w:r>
              <w:rPr>
                <w:rStyle w:val="113"/>
                <w:rFonts w:hint="eastAsia" w:hAnsi="Times New Roman"/>
                <w:i w:val="0"/>
                <w:iCs w:val="0"/>
                <w:color w:val="auto"/>
                <w:sz w:val="24"/>
                <w:szCs w:val="24"/>
              </w:rPr>
              <w:t>生活垃圾分类收集定期由环卫部门清运；一般工业固废收集后外售综合利用；危险废物分类收集，暂存危险废物暂存</w:t>
            </w:r>
            <w:r>
              <w:rPr>
                <w:rStyle w:val="113"/>
                <w:rFonts w:hint="eastAsia" w:hAnsi="Times New Roman"/>
                <w:i w:val="0"/>
                <w:iCs w:val="0"/>
                <w:color w:val="auto"/>
                <w:sz w:val="24"/>
                <w:szCs w:val="24"/>
                <w:lang w:val="en-US" w:eastAsia="zh-CN"/>
              </w:rPr>
              <w:t>库</w:t>
            </w:r>
            <w:r>
              <w:rPr>
                <w:rStyle w:val="113"/>
                <w:rFonts w:hint="eastAsia" w:hAnsi="Times New Roman"/>
                <w:i w:val="0"/>
                <w:iCs w:val="0"/>
                <w:color w:val="auto"/>
                <w:sz w:val="24"/>
                <w:szCs w:val="24"/>
              </w:rPr>
              <w:t>，定期交由有危废处理资质单位回收处理，危险废物暂存</w:t>
            </w:r>
            <w:r>
              <w:rPr>
                <w:rStyle w:val="113"/>
                <w:rFonts w:hint="eastAsia" w:hAnsi="Times New Roman"/>
                <w:i w:val="0"/>
                <w:iCs w:val="0"/>
                <w:color w:val="auto"/>
                <w:sz w:val="24"/>
                <w:szCs w:val="24"/>
                <w:lang w:val="en-US" w:eastAsia="zh-CN"/>
              </w:rPr>
              <w:t>库</w:t>
            </w:r>
            <w:r>
              <w:rPr>
                <w:rStyle w:val="113"/>
                <w:rFonts w:hint="eastAsia" w:hAnsi="Times New Roman"/>
                <w:i w:val="0"/>
                <w:iCs w:val="0"/>
                <w:color w:val="auto"/>
                <w:sz w:val="24"/>
                <w:szCs w:val="24"/>
              </w:rPr>
              <w:t>设置在</w:t>
            </w:r>
            <w:r>
              <w:rPr>
                <w:rStyle w:val="113"/>
                <w:rFonts w:hint="eastAsia" w:hAnsi="Times New Roman"/>
                <w:i w:val="0"/>
                <w:iCs w:val="0"/>
                <w:color w:val="auto"/>
                <w:sz w:val="24"/>
                <w:szCs w:val="24"/>
                <w:lang w:val="en-US" w:eastAsia="zh-CN"/>
              </w:rPr>
              <w:t>一层卸车区</w:t>
            </w:r>
            <w:r>
              <w:rPr>
                <w:rStyle w:val="113"/>
                <w:rFonts w:hint="eastAsia"/>
                <w:i w:val="0"/>
                <w:iCs w:val="0"/>
                <w:color w:val="auto"/>
                <w:sz w:val="24"/>
                <w:szCs w:val="24"/>
                <w:lang w:val="en-US" w:eastAsia="zh-CN"/>
              </w:rPr>
              <w:t>东侧</w:t>
            </w:r>
            <w:r>
              <w:rPr>
                <w:rStyle w:val="113"/>
                <w:rFonts w:hint="eastAsia" w:hAnsi="Times New Roman"/>
                <w:i w:val="0"/>
                <w:iCs w:val="0"/>
                <w:color w:val="auto"/>
                <w:sz w:val="24"/>
                <w:szCs w:val="24"/>
              </w:rPr>
              <w:t>，面积</w:t>
            </w:r>
            <w:r>
              <w:rPr>
                <w:rStyle w:val="113"/>
                <w:rFonts w:hint="eastAsia" w:hAnsi="Times New Roman"/>
                <w:i w:val="0"/>
                <w:iCs w:val="0"/>
                <w:color w:val="auto"/>
                <w:sz w:val="24"/>
                <w:szCs w:val="24"/>
                <w:lang w:val="en-US" w:eastAsia="zh-CN"/>
              </w:rPr>
              <w:t>约1</w:t>
            </w:r>
            <w:r>
              <w:rPr>
                <w:rStyle w:val="113"/>
                <w:rFonts w:hAnsi="Times New Roman"/>
                <w:i w:val="0"/>
                <w:iCs w:val="0"/>
                <w:color w:val="auto"/>
                <w:sz w:val="24"/>
                <w:szCs w:val="24"/>
              </w:rPr>
              <w:t>0m</w:t>
            </w:r>
            <w:r>
              <w:rPr>
                <w:rStyle w:val="113"/>
                <w:rFonts w:hAnsi="Times New Roman"/>
                <w:i w:val="0"/>
                <w:iCs w:val="0"/>
                <w:color w:val="auto"/>
                <w:sz w:val="24"/>
                <w:szCs w:val="24"/>
                <w:vertAlign w:val="superscript"/>
              </w:rPr>
              <w:t>2</w:t>
            </w: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3" w:type="dxa"/>
            <w:vAlign w:val="center"/>
          </w:tcPr>
          <w:p>
            <w:pPr>
              <w:adjustRightInd w:val="0"/>
              <w:snapToGrid w:val="0"/>
              <w:jc w:val="center"/>
              <w:rPr>
                <w:color w:val="auto"/>
                <w:sz w:val="24"/>
              </w:rPr>
            </w:pPr>
            <w:r>
              <w:rPr>
                <w:color w:val="auto"/>
                <w:sz w:val="24"/>
              </w:rPr>
              <w:t>土壤及地下水污染防治措施</w:t>
            </w:r>
          </w:p>
        </w:tc>
        <w:tc>
          <w:tcPr>
            <w:tcW w:w="7727" w:type="dxa"/>
            <w:gridSpan w:val="4"/>
            <w:vAlign w:val="center"/>
          </w:tcPr>
          <w:p>
            <w:pPr>
              <w:adjustRightInd w:val="0"/>
              <w:snapToGrid w:val="0"/>
              <w:jc w:val="center"/>
              <w:rPr>
                <w:color w:val="auto"/>
                <w:sz w:val="24"/>
              </w:rPr>
            </w:pPr>
            <w:r>
              <w:rPr>
                <w:rFonts w:hint="eastAsia"/>
                <w:color w:val="auto"/>
                <w:sz w:val="24"/>
                <w:szCs w:val="32"/>
                <w:lang w:eastAsia="zh-CN"/>
              </w:rPr>
              <w:t>危废贮存库</w:t>
            </w:r>
            <w:r>
              <w:rPr>
                <w:rFonts w:hint="eastAsia"/>
                <w:color w:val="auto"/>
                <w:sz w:val="24"/>
                <w:szCs w:val="32"/>
              </w:rPr>
              <w:t>内地面和墙裙刷防渗涂层，防渗性能满足要求（防渗系数</w:t>
            </w:r>
            <w:r>
              <w:rPr>
                <w:color w:val="auto"/>
                <w:sz w:val="24"/>
                <w:szCs w:val="32"/>
              </w:rPr>
              <w:t>K≤1×10</w:t>
            </w:r>
            <w:r>
              <w:rPr>
                <w:color w:val="auto"/>
                <w:sz w:val="24"/>
                <w:szCs w:val="32"/>
                <w:vertAlign w:val="superscript"/>
              </w:rPr>
              <w:t>-</w:t>
            </w:r>
            <w:r>
              <w:rPr>
                <w:rFonts w:hint="eastAsia"/>
                <w:color w:val="auto"/>
                <w:sz w:val="24"/>
                <w:szCs w:val="32"/>
                <w:vertAlign w:val="superscript"/>
              </w:rPr>
              <w:t>10</w:t>
            </w:r>
            <w:r>
              <w:rPr>
                <w:color w:val="auto"/>
                <w:sz w:val="24"/>
                <w:szCs w:val="32"/>
              </w:rPr>
              <w:t>cm/s</w:t>
            </w:r>
            <w:r>
              <w:rPr>
                <w:rFonts w:hint="eastAsia"/>
                <w:color w:val="auto"/>
                <w:sz w:val="24"/>
                <w:szCs w:val="32"/>
              </w:rPr>
              <w:t>）；同时危险废物暂存在容器内，并放置托盘上等，可有效防止污染物下渗进入地下水、土壤环境。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73" w:type="dxa"/>
            <w:vAlign w:val="center"/>
          </w:tcPr>
          <w:p>
            <w:pPr>
              <w:adjustRightInd w:val="0"/>
              <w:snapToGrid w:val="0"/>
              <w:jc w:val="center"/>
              <w:rPr>
                <w:color w:val="auto"/>
                <w:sz w:val="24"/>
              </w:rPr>
            </w:pPr>
            <w:r>
              <w:rPr>
                <w:color w:val="auto"/>
                <w:sz w:val="24"/>
              </w:rPr>
              <w:t>生态保护措施</w:t>
            </w:r>
          </w:p>
        </w:tc>
        <w:tc>
          <w:tcPr>
            <w:tcW w:w="7727" w:type="dxa"/>
            <w:gridSpan w:val="4"/>
            <w:vAlign w:val="center"/>
          </w:tcPr>
          <w:p>
            <w:pPr>
              <w:adjustRightInd w:val="0"/>
              <w:snapToGrid w:val="0"/>
              <w:jc w:val="center"/>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073" w:type="dxa"/>
            <w:vAlign w:val="center"/>
          </w:tcPr>
          <w:p>
            <w:pPr>
              <w:adjustRightInd w:val="0"/>
              <w:snapToGrid w:val="0"/>
              <w:jc w:val="center"/>
              <w:rPr>
                <w:color w:val="auto"/>
                <w:spacing w:val="-8"/>
                <w:sz w:val="24"/>
              </w:rPr>
            </w:pPr>
            <w:r>
              <w:rPr>
                <w:color w:val="auto"/>
                <w:spacing w:val="-8"/>
                <w:sz w:val="24"/>
              </w:rPr>
              <w:t>环境风险</w:t>
            </w:r>
          </w:p>
          <w:p>
            <w:pPr>
              <w:adjustRightInd w:val="0"/>
              <w:snapToGrid w:val="0"/>
              <w:jc w:val="center"/>
              <w:rPr>
                <w:color w:val="auto"/>
                <w:spacing w:val="-8"/>
                <w:sz w:val="24"/>
              </w:rPr>
            </w:pPr>
            <w:r>
              <w:rPr>
                <w:color w:val="auto"/>
                <w:spacing w:val="-8"/>
                <w:sz w:val="24"/>
              </w:rPr>
              <w:t>防范措施</w:t>
            </w:r>
          </w:p>
        </w:tc>
        <w:tc>
          <w:tcPr>
            <w:tcW w:w="7727" w:type="dxa"/>
            <w:gridSpan w:val="4"/>
            <w:vAlign w:val="center"/>
          </w:tcPr>
          <w:p>
            <w:pPr>
              <w:adjustRightInd w:val="0"/>
              <w:snapToGrid w:val="0"/>
              <w:jc w:val="center"/>
              <w:rPr>
                <w:color w:val="auto"/>
                <w:sz w:val="24"/>
              </w:rPr>
            </w:pPr>
            <w:r>
              <w:rPr>
                <w:color w:val="auto"/>
                <w:sz w:val="24"/>
              </w:rPr>
              <w:t>各存放间采取相应的防渗措施，加强管理、维护等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73" w:type="dxa"/>
            <w:vAlign w:val="center"/>
          </w:tcPr>
          <w:p>
            <w:pPr>
              <w:adjustRightInd w:val="0"/>
              <w:snapToGrid w:val="0"/>
              <w:jc w:val="center"/>
              <w:rPr>
                <w:color w:val="auto"/>
                <w:spacing w:val="-8"/>
                <w:sz w:val="24"/>
              </w:rPr>
            </w:pPr>
            <w:r>
              <w:rPr>
                <w:color w:val="auto"/>
                <w:spacing w:val="-8"/>
                <w:sz w:val="24"/>
              </w:rPr>
              <w:t>其他环境管理要求</w:t>
            </w:r>
          </w:p>
        </w:tc>
        <w:tc>
          <w:tcPr>
            <w:tcW w:w="7727" w:type="dxa"/>
            <w:gridSpan w:val="4"/>
            <w:vAlign w:val="center"/>
          </w:tcPr>
          <w:p>
            <w:pPr>
              <w:adjustRightInd w:val="0"/>
              <w:snapToGrid w:val="0"/>
              <w:spacing w:line="360" w:lineRule="auto"/>
              <w:ind w:firstLine="480" w:firstLineChars="200"/>
              <w:rPr>
                <w:snapToGrid w:val="0"/>
                <w:color w:val="auto"/>
                <w:sz w:val="24"/>
              </w:rPr>
            </w:pPr>
            <w:r>
              <w:rPr>
                <w:snapToGrid w:val="0"/>
                <w:color w:val="auto"/>
                <w:sz w:val="24"/>
              </w:rPr>
              <w:t>1、“三同时”制度：</w:t>
            </w:r>
          </w:p>
          <w:p>
            <w:pPr>
              <w:adjustRightInd w:val="0"/>
              <w:snapToGrid w:val="0"/>
              <w:spacing w:line="360" w:lineRule="auto"/>
              <w:ind w:firstLine="480" w:firstLineChars="200"/>
              <w:rPr>
                <w:snapToGrid w:val="0"/>
                <w:color w:val="auto"/>
                <w:sz w:val="24"/>
              </w:rPr>
            </w:pPr>
            <w:r>
              <w:rPr>
                <w:snapToGrid w:val="0"/>
                <w:color w:val="auto"/>
                <w:sz w:val="24"/>
              </w:rPr>
              <w:t>建设单位认真落实废气、废水、固废、噪声等防治措施的“三同时”制度。</w:t>
            </w:r>
          </w:p>
          <w:p>
            <w:pPr>
              <w:adjustRightInd w:val="0"/>
              <w:snapToGrid w:val="0"/>
              <w:spacing w:line="360" w:lineRule="auto"/>
              <w:ind w:firstLine="480" w:firstLineChars="200"/>
              <w:rPr>
                <w:snapToGrid w:val="0"/>
                <w:color w:val="auto"/>
                <w:sz w:val="24"/>
              </w:rPr>
            </w:pPr>
            <w:r>
              <w:rPr>
                <w:snapToGrid w:val="0"/>
                <w:color w:val="auto"/>
                <w:sz w:val="24"/>
              </w:rPr>
              <w:t>2、环境管理制度：</w:t>
            </w:r>
          </w:p>
          <w:p>
            <w:pPr>
              <w:adjustRightInd w:val="0"/>
              <w:snapToGrid w:val="0"/>
              <w:spacing w:line="360" w:lineRule="auto"/>
              <w:ind w:firstLine="480" w:firstLineChars="200"/>
              <w:rPr>
                <w:snapToGrid w:val="0"/>
                <w:color w:val="auto"/>
                <w:sz w:val="24"/>
              </w:rPr>
            </w:pPr>
            <w:r>
              <w:rPr>
                <w:snapToGrid w:val="0"/>
                <w:color w:val="auto"/>
                <w:sz w:val="24"/>
              </w:rPr>
              <w:t>（1）贯彻执行国家和地方各项环保方针、政策和法规，将环境指标纳入生产计划指标，建立企业内部的环境保护机构、制订与其相适应的管理规章制度及细则；</w:t>
            </w:r>
          </w:p>
          <w:p>
            <w:pPr>
              <w:adjustRightInd w:val="0"/>
              <w:snapToGrid w:val="0"/>
              <w:spacing w:line="360" w:lineRule="auto"/>
              <w:ind w:firstLine="480" w:firstLineChars="200"/>
              <w:rPr>
                <w:snapToGrid w:val="0"/>
                <w:color w:val="auto"/>
                <w:sz w:val="24"/>
              </w:rPr>
            </w:pPr>
            <w:r>
              <w:rPr>
                <w:snapToGrid w:val="0"/>
                <w:color w:val="auto"/>
                <w:sz w:val="24"/>
              </w:rPr>
              <w:t>（2）加强对加工人员的环保教育，包括业务能力、操作技术、环保管理知识的教育，以增强他们的环保意识，提高管理水平；</w:t>
            </w:r>
          </w:p>
          <w:p>
            <w:pPr>
              <w:adjustRightInd w:val="0"/>
              <w:snapToGrid w:val="0"/>
              <w:spacing w:line="360" w:lineRule="auto"/>
              <w:ind w:firstLine="480" w:firstLineChars="200"/>
              <w:rPr>
                <w:snapToGrid w:val="0"/>
                <w:color w:val="auto"/>
                <w:sz w:val="24"/>
              </w:rPr>
            </w:pPr>
            <w:r>
              <w:rPr>
                <w:snapToGrid w:val="0"/>
                <w:color w:val="auto"/>
                <w:sz w:val="24"/>
              </w:rPr>
              <w:t>（3）建立全厂设备维护、维修制度，定期检查各设备运行情况，杜绝事故发生；</w:t>
            </w:r>
          </w:p>
          <w:p>
            <w:pPr>
              <w:adjustRightInd w:val="0"/>
              <w:snapToGrid w:val="0"/>
              <w:spacing w:line="360" w:lineRule="auto"/>
              <w:ind w:firstLine="480" w:firstLineChars="200"/>
              <w:rPr>
                <w:snapToGrid w:val="0"/>
                <w:color w:val="auto"/>
                <w:sz w:val="24"/>
              </w:rPr>
            </w:pPr>
            <w:r>
              <w:rPr>
                <w:snapToGrid w:val="0"/>
                <w:color w:val="auto"/>
                <w:sz w:val="24"/>
              </w:rPr>
              <w:t>（4）应按规范进行台账记录，主要内容包括加工信息、原辅材料使用情况、污染防治设施运行记录、监测数据等；</w:t>
            </w:r>
          </w:p>
          <w:p>
            <w:pPr>
              <w:adjustRightInd w:val="0"/>
              <w:snapToGrid w:val="0"/>
              <w:spacing w:line="360" w:lineRule="auto"/>
              <w:ind w:firstLine="480" w:firstLineChars="200"/>
              <w:rPr>
                <w:snapToGrid w:val="0"/>
                <w:color w:val="auto"/>
                <w:sz w:val="24"/>
              </w:rPr>
            </w:pPr>
            <w:r>
              <w:rPr>
                <w:snapToGrid w:val="0"/>
                <w:color w:val="auto"/>
                <w:sz w:val="24"/>
              </w:rPr>
              <w:t>3、排污许可制度：</w:t>
            </w:r>
          </w:p>
          <w:p>
            <w:pPr>
              <w:adjustRightInd w:val="0"/>
              <w:snapToGrid w:val="0"/>
              <w:spacing w:line="360" w:lineRule="auto"/>
              <w:ind w:firstLine="480" w:firstLineChars="200"/>
              <w:rPr>
                <w:snapToGrid w:val="0"/>
                <w:color w:val="auto"/>
                <w:sz w:val="24"/>
              </w:rPr>
            </w:pPr>
            <w:r>
              <w:rPr>
                <w:snapToGrid w:val="0"/>
                <w:color w:val="auto"/>
                <w:sz w:val="24"/>
              </w:rPr>
              <w:t>根据《固定污染源排污许可分类管理名录》（2019年版）</w:t>
            </w:r>
            <w:r>
              <w:rPr>
                <w:rFonts w:hint="eastAsia"/>
                <w:snapToGrid w:val="0"/>
                <w:color w:val="auto"/>
                <w:sz w:val="24"/>
              </w:rPr>
              <w:t>，</w:t>
            </w:r>
            <w:r>
              <w:rPr>
                <w:snapToGrid w:val="0"/>
                <w:color w:val="auto"/>
                <w:sz w:val="24"/>
              </w:rPr>
              <w:t>本项目应</w:t>
            </w:r>
            <w:r>
              <w:rPr>
                <w:rFonts w:hint="eastAsia"/>
                <w:snapToGrid w:val="0"/>
                <w:color w:val="auto"/>
                <w:sz w:val="24"/>
                <w:lang w:val="en-US" w:eastAsia="zh-CN"/>
              </w:rPr>
              <w:t>进行排污许可的办理，按证排污</w:t>
            </w:r>
            <w:r>
              <w:rPr>
                <w:snapToGrid w:val="0"/>
                <w:color w:val="auto"/>
                <w:sz w:val="24"/>
              </w:rPr>
              <w:t>。</w:t>
            </w:r>
          </w:p>
          <w:p>
            <w:pPr>
              <w:adjustRightInd w:val="0"/>
              <w:snapToGrid w:val="0"/>
              <w:spacing w:line="360" w:lineRule="auto"/>
              <w:ind w:firstLine="480" w:firstLineChars="200"/>
              <w:rPr>
                <w:snapToGrid w:val="0"/>
                <w:color w:val="auto"/>
                <w:sz w:val="24"/>
              </w:rPr>
            </w:pPr>
            <w:r>
              <w:rPr>
                <w:rFonts w:hint="eastAsia"/>
                <w:snapToGrid w:val="0"/>
                <w:color w:val="auto"/>
                <w:sz w:val="24"/>
              </w:rPr>
              <w:t>4</w:t>
            </w:r>
            <w:r>
              <w:rPr>
                <w:snapToGrid w:val="0"/>
                <w:color w:val="auto"/>
                <w:sz w:val="24"/>
              </w:rPr>
              <w:t>、竣工验收：</w:t>
            </w:r>
          </w:p>
          <w:p>
            <w:pPr>
              <w:adjustRightInd w:val="0"/>
              <w:snapToGrid w:val="0"/>
              <w:spacing w:line="360" w:lineRule="auto"/>
              <w:ind w:firstLine="480" w:firstLineChars="200"/>
              <w:rPr>
                <w:snapToGrid w:val="0"/>
                <w:color w:val="auto"/>
                <w:sz w:val="24"/>
              </w:rPr>
            </w:pPr>
            <w:r>
              <w:rPr>
                <w:snapToGrid w:val="0"/>
                <w:color w:val="auto"/>
                <w:sz w:val="24"/>
              </w:rPr>
              <w:t>根据《建设项目竣工环境保护验收暂行办法》（国环规环评</w:t>
            </w:r>
            <w:r>
              <w:rPr>
                <w:rFonts w:hint="eastAsia"/>
                <w:snapToGrid w:val="0"/>
                <w:color w:val="auto"/>
                <w:sz w:val="24"/>
                <w:lang w:eastAsia="zh-CN"/>
              </w:rPr>
              <w:t>〔</w:t>
            </w:r>
            <w:r>
              <w:rPr>
                <w:snapToGrid w:val="0"/>
                <w:color w:val="auto"/>
                <w:sz w:val="24"/>
              </w:rPr>
              <w:t>2017</w:t>
            </w:r>
            <w:r>
              <w:rPr>
                <w:rFonts w:hint="eastAsia"/>
                <w:snapToGrid w:val="0"/>
                <w:color w:val="auto"/>
                <w:sz w:val="24"/>
                <w:lang w:eastAsia="zh-CN"/>
              </w:rPr>
              <w:t>〕</w:t>
            </w:r>
            <w:r>
              <w:rPr>
                <w:snapToGrid w:val="0"/>
                <w:color w:val="auto"/>
                <w:sz w:val="24"/>
              </w:rPr>
              <w:t>4号），建设单位自行验收。验收合格后，方可投入生产</w:t>
            </w:r>
            <w:r>
              <w:rPr>
                <w:rFonts w:hint="eastAsia"/>
                <w:snapToGrid w:val="0"/>
                <w:color w:val="auto"/>
                <w:sz w:val="24"/>
                <w:lang w:eastAsia="zh-CN"/>
              </w:rPr>
              <w:t>或</w:t>
            </w:r>
            <w:r>
              <w:rPr>
                <w:snapToGrid w:val="0"/>
                <w:color w:val="auto"/>
                <w:sz w:val="24"/>
              </w:rPr>
              <w:t>使用。</w:t>
            </w:r>
          </w:p>
          <w:p>
            <w:pPr>
              <w:adjustRightInd w:val="0"/>
              <w:snapToGrid w:val="0"/>
              <w:spacing w:line="360" w:lineRule="auto"/>
              <w:ind w:firstLine="480" w:firstLineChars="200"/>
              <w:rPr>
                <w:snapToGrid w:val="0"/>
                <w:color w:val="auto"/>
                <w:sz w:val="24"/>
              </w:rPr>
            </w:pPr>
            <w:r>
              <w:rPr>
                <w:rFonts w:hint="eastAsia"/>
                <w:snapToGrid w:val="0"/>
                <w:color w:val="auto"/>
                <w:sz w:val="24"/>
              </w:rPr>
              <w:t>5、排污口规范化管理</w:t>
            </w:r>
          </w:p>
          <w:p>
            <w:pPr>
              <w:adjustRightInd w:val="0"/>
              <w:snapToGrid w:val="0"/>
              <w:spacing w:line="360" w:lineRule="auto"/>
              <w:ind w:firstLine="480" w:firstLineChars="200"/>
              <w:rPr>
                <w:snapToGrid w:val="0"/>
                <w:color w:val="auto"/>
                <w:sz w:val="24"/>
              </w:rPr>
            </w:pPr>
            <w:r>
              <w:rPr>
                <w:rFonts w:hint="eastAsia"/>
                <w:snapToGrid w:val="0"/>
                <w:color w:val="auto"/>
                <w:sz w:val="24"/>
              </w:rPr>
              <w:t>按照《排污口规范化整治技术要求》，企业必须按照规范化要求进行设置与管理排污口（指废水排放口、废气排放口和固废临时堆放场所）；在排污口附近醒目处按规定设置环保标志牌，排污口的设置要合理，便于采集监测样品、便于监测计量、便于公众参与监督管理。排污口规范化管理应做到以下几点。</w:t>
            </w:r>
          </w:p>
          <w:p>
            <w:pPr>
              <w:adjustRightInd w:val="0"/>
              <w:snapToGrid w:val="0"/>
              <w:spacing w:line="360" w:lineRule="auto"/>
              <w:ind w:firstLine="480" w:firstLineChars="200"/>
              <w:rPr>
                <w:snapToGrid w:val="0"/>
                <w:color w:val="auto"/>
                <w:sz w:val="24"/>
              </w:rPr>
            </w:pPr>
            <w:r>
              <w:rPr>
                <w:rFonts w:hint="eastAsia"/>
                <w:snapToGrid w:val="0"/>
                <w:color w:val="auto"/>
                <w:sz w:val="24"/>
              </w:rPr>
              <w:t>①废气排放口规范化管理</w:t>
            </w:r>
          </w:p>
          <w:p>
            <w:pPr>
              <w:adjustRightInd w:val="0"/>
              <w:snapToGrid w:val="0"/>
              <w:spacing w:line="360" w:lineRule="auto"/>
              <w:ind w:firstLine="480" w:firstLineChars="200"/>
              <w:rPr>
                <w:snapToGrid w:val="0"/>
                <w:color w:val="auto"/>
                <w:sz w:val="24"/>
              </w:rPr>
            </w:pPr>
            <w:r>
              <w:rPr>
                <w:rFonts w:hint="eastAsia"/>
                <w:snapToGrid w:val="0"/>
                <w:color w:val="auto"/>
                <w:sz w:val="24"/>
              </w:rPr>
              <w:t>排气筒设置便于采样监测的采样口和采样监测平台，采样孔点数目和位置按《</w:t>
            </w:r>
            <w:r>
              <w:rPr>
                <w:rFonts w:hint="eastAsia"/>
                <w:snapToGrid w:val="0"/>
                <w:color w:val="auto"/>
                <w:sz w:val="24"/>
                <w:lang w:val="en-US" w:eastAsia="zh-CN"/>
              </w:rPr>
              <w:t>固定源废气监测技术规范</w:t>
            </w:r>
            <w:r>
              <w:rPr>
                <w:rFonts w:hint="eastAsia"/>
                <w:snapToGrid w:val="0"/>
                <w:color w:val="auto"/>
                <w:sz w:val="24"/>
              </w:rPr>
              <w:t>》（</w:t>
            </w:r>
            <w:r>
              <w:rPr>
                <w:rFonts w:hint="eastAsia"/>
                <w:snapToGrid w:val="0"/>
                <w:color w:val="auto"/>
                <w:sz w:val="24"/>
                <w:lang w:val="en-US" w:eastAsia="zh-CN"/>
              </w:rPr>
              <w:t>HJ/T397-2007</w:t>
            </w:r>
            <w:r>
              <w:rPr>
                <w:rFonts w:hint="eastAsia"/>
                <w:snapToGrid w:val="0"/>
                <w:color w:val="auto"/>
                <w:sz w:val="24"/>
              </w:rPr>
              <w:t>）的规定设置。在距离废气排气筒和附近醒目处，设提示环境保护图形标志，能长久保留。</w:t>
            </w:r>
          </w:p>
          <w:p>
            <w:pPr>
              <w:adjustRightInd w:val="0"/>
              <w:snapToGrid w:val="0"/>
              <w:spacing w:line="360" w:lineRule="auto"/>
              <w:ind w:firstLine="480" w:firstLineChars="200"/>
              <w:rPr>
                <w:snapToGrid w:val="0"/>
                <w:color w:val="auto"/>
                <w:sz w:val="24"/>
              </w:rPr>
            </w:pPr>
            <w:r>
              <w:rPr>
                <w:rFonts w:hint="eastAsia"/>
                <w:snapToGrid w:val="0"/>
                <w:color w:val="auto"/>
                <w:sz w:val="24"/>
              </w:rPr>
              <w:t>②固废暂存场所规范化管理</w:t>
            </w:r>
          </w:p>
          <w:p>
            <w:pPr>
              <w:adjustRightInd w:val="0"/>
              <w:snapToGrid w:val="0"/>
              <w:spacing w:line="360" w:lineRule="auto"/>
              <w:ind w:firstLine="480" w:firstLineChars="200"/>
              <w:rPr>
                <w:snapToGrid w:val="0"/>
                <w:color w:val="auto"/>
                <w:sz w:val="24"/>
              </w:rPr>
            </w:pPr>
            <w:r>
              <w:rPr>
                <w:rFonts w:hint="eastAsia"/>
                <w:snapToGrid w:val="0"/>
                <w:color w:val="auto"/>
                <w:sz w:val="24"/>
              </w:rPr>
              <w:t>本项目设一般固废临时暂存间一个，危废贮存库一个。一般工业固体废物暂存需满足“防渗漏、防雨淋和防扬尘”的要求；危险废物暂存应满足</w:t>
            </w:r>
            <w:r>
              <w:rPr>
                <w:snapToGrid w:val="0"/>
                <w:color w:val="auto"/>
                <w:sz w:val="24"/>
              </w:rPr>
              <w:t>《危险废物贮存污染控制标准》（GB18597-20</w:t>
            </w:r>
            <w:r>
              <w:rPr>
                <w:rFonts w:hint="eastAsia"/>
                <w:snapToGrid w:val="0"/>
                <w:color w:val="auto"/>
                <w:sz w:val="24"/>
              </w:rPr>
              <w:t>23</w:t>
            </w:r>
            <w:r>
              <w:rPr>
                <w:snapToGrid w:val="0"/>
                <w:color w:val="auto"/>
                <w:sz w:val="24"/>
              </w:rPr>
              <w:t>）</w:t>
            </w:r>
            <w:r>
              <w:rPr>
                <w:rFonts w:hint="eastAsia"/>
                <w:snapToGrid w:val="0"/>
                <w:color w:val="auto"/>
                <w:sz w:val="24"/>
              </w:rPr>
              <w:t>中有关规定，门口设提示环境保护图形标志，能长久保留。</w:t>
            </w:r>
          </w:p>
          <w:p>
            <w:pPr>
              <w:adjustRightInd w:val="0"/>
              <w:snapToGrid w:val="0"/>
              <w:spacing w:line="360" w:lineRule="auto"/>
              <w:ind w:firstLine="480" w:firstLineChars="200"/>
              <w:rPr>
                <w:snapToGrid w:val="0"/>
                <w:color w:val="auto"/>
                <w:sz w:val="24"/>
              </w:rPr>
            </w:pPr>
            <w:r>
              <w:rPr>
                <w:rFonts w:hint="eastAsia"/>
                <w:snapToGrid w:val="0"/>
                <w:color w:val="auto"/>
                <w:sz w:val="24"/>
              </w:rPr>
              <w:t>根据《环境保护图形标志---排放口（源）》（GB15562.1-95、GB15562.2-95</w:t>
            </w:r>
            <w:r>
              <w:rPr>
                <w:rFonts w:hint="eastAsia"/>
                <w:snapToGrid w:val="0"/>
                <w:color w:val="auto"/>
                <w:sz w:val="24"/>
                <w:lang w:val="en-US" w:eastAsia="zh-CN"/>
              </w:rPr>
              <w:t>及修改单</w:t>
            </w:r>
            <w:r>
              <w:rPr>
                <w:rFonts w:hint="eastAsia"/>
                <w:snapToGrid w:val="0"/>
                <w:color w:val="auto"/>
                <w:sz w:val="24"/>
              </w:rPr>
              <w:t>），环境保护图形符号见下表。</w:t>
            </w:r>
          </w:p>
          <w:p>
            <w:pPr>
              <w:pStyle w:val="86"/>
              <w:ind w:firstLine="480"/>
              <w:rPr>
                <w:color w:val="auto"/>
              </w:rPr>
            </w:pPr>
            <w:r>
              <w:rPr>
                <w:color w:val="auto"/>
              </w:rPr>
              <w:t>表</w:t>
            </w:r>
            <w:r>
              <w:rPr>
                <w:rFonts w:hint="eastAsia"/>
                <w:color w:val="auto"/>
              </w:rPr>
              <w:t>5-1</w:t>
            </w:r>
            <w:r>
              <w:rPr>
                <w:color w:val="auto"/>
              </w:rPr>
              <w:t xml:space="preserve">  </w:t>
            </w:r>
            <w:r>
              <w:rPr>
                <w:rFonts w:hint="eastAsia"/>
                <w:color w:val="auto"/>
                <w:szCs w:val="24"/>
              </w:rPr>
              <w:t>环境保护图形符号</w:t>
            </w:r>
            <w:r>
              <w:rPr>
                <w:color w:val="auto"/>
              </w:rPr>
              <w:t>一览表</w:t>
            </w:r>
          </w:p>
          <w:tbl>
            <w:tblPr>
              <w:tblStyle w:val="29"/>
              <w:tblW w:w="689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135"/>
              <w:gridCol w:w="30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2" w:type="dxa"/>
                  <w:tcBorders>
                    <w:tl2br w:val="nil"/>
                    <w:tr2bl w:val="nil"/>
                  </w:tcBorders>
                  <w:vAlign w:val="center"/>
                </w:tcPr>
                <w:p>
                  <w:pPr>
                    <w:adjustRightInd w:val="0"/>
                    <w:snapToGrid w:val="0"/>
                    <w:jc w:val="center"/>
                    <w:rPr>
                      <w:color w:val="auto"/>
                      <w:szCs w:val="21"/>
                    </w:rPr>
                  </w:pPr>
                  <w:bookmarkStart w:id="8" w:name="10.2.4企业环境信息公开"/>
                  <w:bookmarkEnd w:id="8"/>
                  <w:r>
                    <w:rPr>
                      <w:rFonts w:hint="eastAsia"/>
                      <w:color w:val="auto"/>
                      <w:szCs w:val="21"/>
                    </w:rPr>
                    <w:t>名称</w:t>
                  </w:r>
                </w:p>
              </w:tc>
              <w:tc>
                <w:tcPr>
                  <w:tcW w:w="3135" w:type="dxa"/>
                  <w:tcBorders>
                    <w:tl2br w:val="nil"/>
                    <w:tr2bl w:val="nil"/>
                  </w:tcBorders>
                  <w:vAlign w:val="center"/>
                </w:tcPr>
                <w:p>
                  <w:pPr>
                    <w:adjustRightInd w:val="0"/>
                    <w:snapToGrid w:val="0"/>
                    <w:jc w:val="center"/>
                    <w:rPr>
                      <w:color w:val="auto"/>
                      <w:szCs w:val="21"/>
                    </w:rPr>
                  </w:pPr>
                  <w:r>
                    <w:rPr>
                      <w:rFonts w:hint="eastAsia"/>
                      <w:color w:val="auto"/>
                      <w:szCs w:val="21"/>
                    </w:rPr>
                    <w:t>废气排放口</w:t>
                  </w:r>
                </w:p>
              </w:tc>
              <w:tc>
                <w:tcPr>
                  <w:tcW w:w="3023" w:type="dxa"/>
                  <w:tcBorders>
                    <w:tl2br w:val="nil"/>
                    <w:tr2bl w:val="nil"/>
                  </w:tcBorders>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危险废物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32" w:type="dxa"/>
                  <w:tcBorders>
                    <w:tl2br w:val="nil"/>
                    <w:tr2bl w:val="nil"/>
                  </w:tcBorders>
                  <w:vAlign w:val="center"/>
                </w:tcPr>
                <w:p>
                  <w:pPr>
                    <w:adjustRightInd w:val="0"/>
                    <w:snapToGrid w:val="0"/>
                    <w:jc w:val="center"/>
                    <w:rPr>
                      <w:color w:val="auto"/>
                      <w:szCs w:val="21"/>
                    </w:rPr>
                  </w:pPr>
                  <w:r>
                    <w:rPr>
                      <w:rFonts w:hint="eastAsia"/>
                      <w:color w:val="auto"/>
                      <w:szCs w:val="21"/>
                    </w:rPr>
                    <w:t>提示图形符号</w:t>
                  </w:r>
                </w:p>
              </w:tc>
              <w:tc>
                <w:tcPr>
                  <w:tcW w:w="3135" w:type="dxa"/>
                  <w:tcBorders>
                    <w:tl2br w:val="nil"/>
                    <w:tr2bl w:val="nil"/>
                  </w:tcBorders>
                  <w:vAlign w:val="center"/>
                </w:tcPr>
                <w:p>
                  <w:pPr>
                    <w:adjustRightInd w:val="0"/>
                    <w:snapToGrid w:val="0"/>
                    <w:jc w:val="center"/>
                    <w:rPr>
                      <w:color w:val="auto"/>
                      <w:szCs w:val="21"/>
                    </w:rPr>
                  </w:pPr>
                  <w:r>
                    <w:rPr>
                      <w:rFonts w:hint="eastAsia"/>
                      <w:color w:val="auto"/>
                      <w:szCs w:val="21"/>
                    </w:rPr>
                    <w:drawing>
                      <wp:anchor distT="0" distB="0" distL="114300" distR="114300" simplePos="0" relativeHeight="251662336" behindDoc="0" locked="0" layoutInCell="1" allowOverlap="1">
                        <wp:simplePos x="0" y="0"/>
                        <wp:positionH relativeFrom="column">
                          <wp:posOffset>-29845</wp:posOffset>
                        </wp:positionH>
                        <wp:positionV relativeFrom="paragraph">
                          <wp:posOffset>33020</wp:posOffset>
                        </wp:positionV>
                        <wp:extent cx="1811020" cy="1403985"/>
                        <wp:effectExtent l="0" t="0" r="2540" b="13335"/>
                        <wp:wrapNone/>
                        <wp:docPr id="5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
                                <pic:cNvPicPr>
                                  <a:picLocks noChangeAspect="1"/>
                                </pic:cNvPicPr>
                              </pic:nvPicPr>
                              <pic:blipFill>
                                <a:blip r:embed="rId34"/>
                                <a:stretch>
                                  <a:fillRect/>
                                </a:stretch>
                              </pic:blipFill>
                              <pic:spPr>
                                <a:xfrm>
                                  <a:off x="0" y="0"/>
                                  <a:ext cx="1811020" cy="1403985"/>
                                </a:xfrm>
                                <a:prstGeom prst="rect">
                                  <a:avLst/>
                                </a:prstGeom>
                                <a:noFill/>
                                <a:ln>
                                  <a:noFill/>
                                </a:ln>
                              </pic:spPr>
                            </pic:pic>
                          </a:graphicData>
                        </a:graphic>
                      </wp:anchor>
                    </w:drawing>
                  </w:r>
                </w:p>
                <w:p>
                  <w:pPr>
                    <w:adjustRightInd w:val="0"/>
                    <w:snapToGrid w:val="0"/>
                    <w:jc w:val="center"/>
                    <w:rPr>
                      <w:color w:val="auto"/>
                      <w:szCs w:val="21"/>
                    </w:rPr>
                  </w:pPr>
                </w:p>
                <w:p>
                  <w:pPr>
                    <w:adjustRightInd w:val="0"/>
                    <w:snapToGrid w:val="0"/>
                    <w:jc w:val="center"/>
                    <w:rPr>
                      <w:color w:val="auto"/>
                      <w:szCs w:val="21"/>
                    </w:rPr>
                  </w:pPr>
                </w:p>
                <w:p>
                  <w:pPr>
                    <w:adjustRightInd w:val="0"/>
                    <w:snapToGrid w:val="0"/>
                    <w:jc w:val="center"/>
                    <w:rPr>
                      <w:color w:val="auto"/>
                      <w:szCs w:val="21"/>
                    </w:rPr>
                  </w:pPr>
                </w:p>
                <w:p>
                  <w:pPr>
                    <w:adjustRightInd w:val="0"/>
                    <w:snapToGrid w:val="0"/>
                    <w:jc w:val="center"/>
                    <w:rPr>
                      <w:color w:val="auto"/>
                      <w:szCs w:val="21"/>
                    </w:rPr>
                  </w:pPr>
                </w:p>
              </w:tc>
              <w:tc>
                <w:tcPr>
                  <w:tcW w:w="3023" w:type="dxa"/>
                  <w:tcBorders>
                    <w:tl2br w:val="nil"/>
                    <w:tr2bl w:val="nil"/>
                  </w:tcBorders>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color w:val="auto"/>
                    </w:rPr>
                    <w:drawing>
                      <wp:inline distT="0" distB="0" distL="114300" distR="114300">
                        <wp:extent cx="1680845" cy="1228725"/>
                        <wp:effectExtent l="0" t="0" r="14605" b="9525"/>
                        <wp:docPr id="2"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
                                <pic:cNvPicPr>
                                  <a:picLocks noChangeAspect="1"/>
                                </pic:cNvPicPr>
                              </pic:nvPicPr>
                              <pic:blipFill>
                                <a:blip r:embed="rId35"/>
                                <a:stretch>
                                  <a:fillRect/>
                                </a:stretch>
                              </pic:blipFill>
                              <pic:spPr>
                                <a:xfrm>
                                  <a:off x="0" y="0"/>
                                  <a:ext cx="1680845" cy="122872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tcBorders>
                    <w:tl2br w:val="nil"/>
                    <w:tr2bl w:val="nil"/>
                  </w:tcBorders>
                  <w:vAlign w:val="center"/>
                </w:tcPr>
                <w:p>
                  <w:pPr>
                    <w:adjustRightInd w:val="0"/>
                    <w:snapToGrid w:val="0"/>
                    <w:jc w:val="center"/>
                    <w:rPr>
                      <w:color w:val="auto"/>
                      <w:szCs w:val="21"/>
                    </w:rPr>
                  </w:pPr>
                  <w:r>
                    <w:rPr>
                      <w:rFonts w:hint="eastAsia"/>
                      <w:color w:val="auto"/>
                      <w:szCs w:val="21"/>
                    </w:rPr>
                    <w:t>功能</w:t>
                  </w:r>
                </w:p>
              </w:tc>
              <w:tc>
                <w:tcPr>
                  <w:tcW w:w="3135" w:type="dxa"/>
                  <w:tcBorders>
                    <w:tl2br w:val="nil"/>
                    <w:tr2bl w:val="nil"/>
                  </w:tcBorders>
                  <w:vAlign w:val="center"/>
                </w:tcPr>
                <w:p>
                  <w:pPr>
                    <w:adjustRightInd w:val="0"/>
                    <w:snapToGrid w:val="0"/>
                    <w:jc w:val="center"/>
                    <w:rPr>
                      <w:color w:val="auto"/>
                      <w:szCs w:val="21"/>
                    </w:rPr>
                  </w:pPr>
                  <w:r>
                    <w:rPr>
                      <w:rFonts w:hint="eastAsia"/>
                      <w:color w:val="auto"/>
                      <w:szCs w:val="21"/>
                    </w:rPr>
                    <w:t>表示废气向外环境排放</w:t>
                  </w:r>
                </w:p>
              </w:tc>
              <w:tc>
                <w:tcPr>
                  <w:tcW w:w="3023" w:type="dxa"/>
                  <w:tcBorders>
                    <w:tl2br w:val="nil"/>
                    <w:tr2bl w:val="nil"/>
                  </w:tcBorders>
                  <w:vAlign w:val="center"/>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表示危险废物贮存、处置场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tcBorders>
                    <w:tl2br w:val="nil"/>
                    <w:tr2bl w:val="nil"/>
                  </w:tcBorders>
                  <w:vAlign w:val="center"/>
                </w:tcPr>
                <w:p>
                  <w:pPr>
                    <w:adjustRightInd w:val="0"/>
                    <w:snapToGrid w:val="0"/>
                    <w:jc w:val="center"/>
                    <w:rPr>
                      <w:color w:val="auto"/>
                      <w:szCs w:val="21"/>
                    </w:rPr>
                  </w:pPr>
                  <w:r>
                    <w:rPr>
                      <w:rFonts w:hint="eastAsia"/>
                      <w:color w:val="auto"/>
                      <w:szCs w:val="21"/>
                    </w:rPr>
                    <w:t>名称</w:t>
                  </w:r>
                </w:p>
              </w:tc>
              <w:tc>
                <w:tcPr>
                  <w:tcW w:w="3135" w:type="dxa"/>
                  <w:tcBorders>
                    <w:tl2br w:val="nil"/>
                    <w:tr2bl w:val="nil"/>
                  </w:tcBorders>
                  <w:vAlign w:val="center"/>
                </w:tcPr>
                <w:p>
                  <w:pPr>
                    <w:adjustRightInd w:val="0"/>
                    <w:jc w:val="center"/>
                    <w:rPr>
                      <w:color w:val="auto"/>
                      <w:szCs w:val="21"/>
                    </w:rPr>
                  </w:pPr>
                  <w:r>
                    <w:rPr>
                      <w:rFonts w:hint="eastAsia"/>
                      <w:color w:val="auto"/>
                      <w:szCs w:val="21"/>
                    </w:rPr>
                    <w:t>一般固体废物</w:t>
                  </w:r>
                </w:p>
              </w:tc>
              <w:tc>
                <w:tcPr>
                  <w:tcW w:w="3023"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lang w:val="en-US" w:eastAsia="zh-CN"/>
                    </w:rPr>
                    <w:t>噪声排放源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tcBorders>
                    <w:tl2br w:val="nil"/>
                    <w:tr2bl w:val="nil"/>
                  </w:tcBorders>
                  <w:vAlign w:val="center"/>
                </w:tcPr>
                <w:p>
                  <w:pPr>
                    <w:adjustRightInd w:val="0"/>
                    <w:snapToGrid w:val="0"/>
                    <w:jc w:val="center"/>
                    <w:rPr>
                      <w:color w:val="auto"/>
                      <w:szCs w:val="21"/>
                    </w:rPr>
                  </w:pPr>
                  <w:r>
                    <w:rPr>
                      <w:rFonts w:hint="eastAsia"/>
                      <w:color w:val="auto"/>
                      <w:szCs w:val="21"/>
                    </w:rPr>
                    <w:t>提示图形符号</w:t>
                  </w:r>
                </w:p>
              </w:tc>
              <w:tc>
                <w:tcPr>
                  <w:tcW w:w="3135" w:type="dxa"/>
                  <w:tcBorders>
                    <w:tl2br w:val="nil"/>
                    <w:tr2bl w:val="nil"/>
                  </w:tcBorders>
                  <w:vAlign w:val="center"/>
                </w:tcPr>
                <w:p>
                  <w:pPr>
                    <w:adjustRightInd w:val="0"/>
                    <w:snapToGrid w:val="0"/>
                    <w:jc w:val="center"/>
                    <w:rPr>
                      <w:color w:val="auto"/>
                      <w:szCs w:val="21"/>
                    </w:rPr>
                  </w:pPr>
                  <w:r>
                    <w:rPr>
                      <w:rFonts w:hint="eastAsia"/>
                      <w:color w:val="auto"/>
                      <w:szCs w:val="21"/>
                    </w:rPr>
                    <w:drawing>
                      <wp:inline distT="0" distB="0" distL="114300" distR="114300">
                        <wp:extent cx="1758950" cy="1402080"/>
                        <wp:effectExtent l="0" t="0" r="8890" b="0"/>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36"/>
                                <a:stretch>
                                  <a:fillRect/>
                                </a:stretch>
                              </pic:blipFill>
                              <pic:spPr>
                                <a:xfrm>
                                  <a:off x="0" y="0"/>
                                  <a:ext cx="1758950" cy="1402080"/>
                                </a:xfrm>
                                <a:prstGeom prst="rect">
                                  <a:avLst/>
                                </a:prstGeom>
                                <a:noFill/>
                                <a:ln>
                                  <a:noFill/>
                                </a:ln>
                              </pic:spPr>
                            </pic:pic>
                          </a:graphicData>
                        </a:graphic>
                      </wp:inline>
                    </w:drawing>
                  </w:r>
                </w:p>
              </w:tc>
              <w:tc>
                <w:tcPr>
                  <w:tcW w:w="3023" w:type="dxa"/>
                  <w:tcBorders>
                    <w:tl2br w:val="nil"/>
                    <w:tr2bl w:val="nil"/>
                  </w:tcBorders>
                  <w:vAlign w:val="center"/>
                </w:tcPr>
                <w:p>
                  <w:pPr>
                    <w:pStyle w:val="87"/>
                    <w:bidi w:val="0"/>
                    <w:rPr>
                      <w:rFonts w:hint="eastAsia" w:eastAsia="宋体"/>
                      <w:color w:val="auto"/>
                      <w:szCs w:val="21"/>
                      <w:lang w:val="en-US" w:eastAsia="zh-CN"/>
                    </w:rPr>
                  </w:pPr>
                  <w:r>
                    <w:rPr>
                      <w:color w:val="auto"/>
                    </w:rPr>
                    <w:drawing>
                      <wp:inline distT="0" distB="0" distL="114300" distR="114300">
                        <wp:extent cx="2016760" cy="1243330"/>
                        <wp:effectExtent l="0" t="0" r="2540" b="13970"/>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37"/>
                                <a:stretch>
                                  <a:fillRect/>
                                </a:stretch>
                              </pic:blipFill>
                              <pic:spPr>
                                <a:xfrm>
                                  <a:off x="0" y="0"/>
                                  <a:ext cx="2016760" cy="124333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2" w:type="dxa"/>
                  <w:tcBorders>
                    <w:tl2br w:val="nil"/>
                    <w:tr2bl w:val="nil"/>
                  </w:tcBorders>
                  <w:vAlign w:val="center"/>
                </w:tcPr>
                <w:p>
                  <w:pPr>
                    <w:adjustRightInd w:val="0"/>
                    <w:snapToGrid w:val="0"/>
                    <w:jc w:val="center"/>
                    <w:rPr>
                      <w:color w:val="auto"/>
                      <w:szCs w:val="21"/>
                    </w:rPr>
                  </w:pPr>
                  <w:r>
                    <w:rPr>
                      <w:rFonts w:hint="eastAsia"/>
                      <w:color w:val="auto"/>
                      <w:szCs w:val="21"/>
                    </w:rPr>
                    <w:t>功能</w:t>
                  </w:r>
                </w:p>
              </w:tc>
              <w:tc>
                <w:tcPr>
                  <w:tcW w:w="3135" w:type="dxa"/>
                  <w:tcBorders>
                    <w:tl2br w:val="nil"/>
                    <w:tr2bl w:val="nil"/>
                  </w:tcBorders>
                  <w:vAlign w:val="center"/>
                </w:tcPr>
                <w:p>
                  <w:pPr>
                    <w:adjustRightInd w:val="0"/>
                    <w:snapToGrid w:val="0"/>
                    <w:jc w:val="center"/>
                    <w:rPr>
                      <w:color w:val="auto"/>
                      <w:szCs w:val="21"/>
                    </w:rPr>
                  </w:pPr>
                  <w:r>
                    <w:rPr>
                      <w:rFonts w:hint="eastAsia"/>
                      <w:color w:val="auto"/>
                      <w:szCs w:val="21"/>
                    </w:rPr>
                    <w:t>表示一般固体废物贮存、处置场</w:t>
                  </w:r>
                </w:p>
              </w:tc>
              <w:tc>
                <w:tcPr>
                  <w:tcW w:w="3023" w:type="dxa"/>
                  <w:tcBorders>
                    <w:tl2br w:val="nil"/>
                    <w:tr2bl w:val="nil"/>
                  </w:tcBorders>
                  <w:vAlign w:val="center"/>
                </w:tcPr>
                <w:p>
                  <w:pPr>
                    <w:pStyle w:val="87"/>
                    <w:bidi w:val="0"/>
                    <w:rPr>
                      <w:rFonts w:hint="eastAsia" w:eastAsia="宋体"/>
                      <w:color w:val="auto"/>
                      <w:szCs w:val="21"/>
                      <w:lang w:val="en-US" w:eastAsia="zh-CN"/>
                    </w:rPr>
                  </w:pPr>
                  <w:r>
                    <w:rPr>
                      <w:rFonts w:hint="eastAsia"/>
                      <w:color w:val="auto"/>
                      <w:lang w:val="en-US" w:eastAsia="zh-CN"/>
                    </w:rPr>
                    <w:t>表示噪声</w:t>
                  </w:r>
                </w:p>
              </w:tc>
            </w:tr>
          </w:tbl>
          <w:p>
            <w:pPr>
              <w:rPr>
                <w:color w:val="auto"/>
              </w:rPr>
            </w:pPr>
          </w:p>
          <w:p>
            <w:pPr>
              <w:rPr>
                <w:color w:val="auto"/>
              </w:rPr>
            </w:pPr>
          </w:p>
          <w:p>
            <w:pPr>
              <w:adjustRightInd w:val="0"/>
              <w:snapToGrid w:val="0"/>
              <w:spacing w:line="360" w:lineRule="exact"/>
              <w:rPr>
                <w:color w:val="auto"/>
                <w:sz w:val="24"/>
              </w:rPr>
            </w:pPr>
          </w:p>
        </w:tc>
      </w:tr>
    </w:tbl>
    <w:p>
      <w:pPr>
        <w:pStyle w:val="25"/>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9"/>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227" w:hRule="atLeast"/>
          <w:jc w:val="center"/>
        </w:trPr>
        <w:tc>
          <w:tcPr>
            <w:tcW w:w="8865" w:type="dxa"/>
          </w:tcPr>
          <w:p>
            <w:pPr>
              <w:spacing w:before="120" w:beforeLines="50" w:line="360" w:lineRule="auto"/>
              <w:ind w:firstLine="480" w:firstLineChars="200"/>
              <w:rPr>
                <w:rFonts w:ascii="宋体" w:cs="宋体"/>
                <w:color w:val="auto"/>
                <w:sz w:val="24"/>
              </w:rPr>
            </w:pPr>
            <w:r>
              <w:rPr>
                <w:color w:val="auto"/>
                <w:sz w:val="24"/>
              </w:rPr>
              <w:t>从环境保护角度分析，建设项目环境影响可行。</w:t>
            </w:r>
          </w:p>
          <w:p>
            <w:pPr>
              <w:spacing w:line="360" w:lineRule="auto"/>
              <w:rPr>
                <w:rFonts w:ascii="宋体" w:cs="宋体"/>
                <w:color w:val="auto"/>
                <w:sz w:val="24"/>
              </w:rPr>
            </w:pP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5"/>
        <w:adjustRightInd w:val="0"/>
        <w:snapToGrid w:val="0"/>
        <w:spacing w:before="0" w:beforeAutospacing="0" w:after="0" w:afterAutospacing="0"/>
        <w:outlineLvl w:val="0"/>
        <w:rPr>
          <w:rFonts w:ascii="Times New Roman" w:hAnsi="Times New Roman" w:eastAsia="黑体"/>
          <w:snapToGrid w:val="0"/>
          <w:color w:val="auto"/>
          <w:sz w:val="28"/>
          <w:szCs w:val="28"/>
        </w:rPr>
      </w:pPr>
      <w:r>
        <w:rPr>
          <w:rFonts w:ascii="Times New Roman" w:hAnsi="Times New Roman" w:eastAsia="黑体"/>
          <w:snapToGrid w:val="0"/>
          <w:color w:val="auto"/>
          <w:sz w:val="28"/>
          <w:szCs w:val="28"/>
        </w:rPr>
        <w:t>附表</w:t>
      </w:r>
    </w:p>
    <w:p>
      <w:pPr>
        <w:pStyle w:val="25"/>
        <w:adjustRightInd w:val="0"/>
        <w:snapToGrid w:val="0"/>
        <w:spacing w:before="0" w:beforeAutospacing="0" w:after="0" w:afterAutospacing="0"/>
        <w:jc w:val="center"/>
        <w:outlineLvl w:val="0"/>
        <w:rPr>
          <w:rFonts w:ascii="Times New Roman" w:hAnsi="Times New Roman" w:eastAsia="方正小标宋_GBK"/>
          <w:snapToGrid w:val="0"/>
          <w:color w:val="auto"/>
          <w:sz w:val="32"/>
          <w:szCs w:val="32"/>
        </w:rPr>
      </w:pPr>
      <w:r>
        <w:rPr>
          <w:rFonts w:ascii="Times New Roman" w:hAnsi="Times New Roman" w:eastAsia="方正小标宋_GBK"/>
          <w:snapToGrid w:val="0"/>
          <w:color w:val="auto"/>
          <w:sz w:val="32"/>
          <w:szCs w:val="32"/>
        </w:rPr>
        <w:t>建设项目污染物排放量汇总表</w:t>
      </w:r>
    </w:p>
    <w:tbl>
      <w:tblPr>
        <w:tblStyle w:val="29"/>
        <w:tblW w:w="0" w:type="auto"/>
        <w:tblInd w:w="0" w:type="dxa"/>
        <w:tblLayout w:type="autofit"/>
        <w:tblCellMar>
          <w:top w:w="0" w:type="dxa"/>
          <w:left w:w="108" w:type="dxa"/>
          <w:bottom w:w="0" w:type="dxa"/>
          <w:right w:w="108" w:type="dxa"/>
        </w:tblCellMar>
      </w:tblPr>
      <w:tblGrid>
        <w:gridCol w:w="936"/>
        <w:gridCol w:w="1275"/>
        <w:gridCol w:w="1276"/>
        <w:gridCol w:w="1657"/>
        <w:gridCol w:w="1383"/>
        <w:gridCol w:w="1413"/>
        <w:gridCol w:w="1532"/>
        <w:gridCol w:w="1413"/>
        <w:gridCol w:w="1641"/>
        <w:gridCol w:w="1240"/>
      </w:tblGrid>
      <w:tr>
        <w:tblPrEx>
          <w:tblCellMar>
            <w:top w:w="0" w:type="dxa"/>
            <w:left w:w="108" w:type="dxa"/>
            <w:bottom w:w="0" w:type="dxa"/>
            <w:right w:w="108" w:type="dxa"/>
          </w:tblCellMar>
        </w:tblPrEx>
        <w:tc>
          <w:tcPr>
            <w:tcW w:w="936" w:type="dxa"/>
            <w:tcBorders>
              <w:top w:val="single" w:color="auto" w:sz="4" w:space="0"/>
              <w:left w:val="single" w:color="auto" w:sz="4" w:space="0"/>
              <w:bottom w:val="single" w:color="auto" w:sz="4" w:space="0"/>
              <w:right w:val="single" w:color="auto" w:sz="4" w:space="0"/>
              <w:tl2br w:val="single" w:color="auto" w:sz="4" w:space="0"/>
            </w:tcBorders>
            <w:vAlign w:val="center"/>
          </w:tcPr>
          <w:p>
            <w:pPr>
              <w:ind w:firstLine="0" w:firstLineChars="0"/>
              <w:jc w:val="right"/>
              <w:rPr>
                <w:rFonts w:eastAsia="黑体"/>
                <w:color w:val="auto"/>
              </w:rPr>
            </w:pPr>
            <w:r>
              <w:rPr>
                <w:rFonts w:eastAsia="黑体"/>
                <w:color w:val="auto"/>
              </w:rPr>
              <w:t>项目</w:t>
            </w:r>
          </w:p>
          <w:p>
            <w:pPr>
              <w:ind w:firstLine="0" w:firstLineChars="0"/>
              <w:jc w:val="left"/>
              <w:rPr>
                <w:rFonts w:eastAsia="黑体"/>
                <w:color w:val="auto"/>
              </w:rPr>
            </w:pPr>
            <w:r>
              <w:rPr>
                <w:rFonts w:eastAsia="黑体"/>
                <w:color w:val="auto"/>
              </w:rPr>
              <w:t>分类</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污染物名称</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现有工程排放量（固体废物产生量）</w:t>
            </w:r>
            <w:r>
              <w:rPr>
                <w:rFonts w:hint="eastAsia" w:ascii="宋体" w:hAnsi="宋体" w:cs="宋体"/>
                <w:color w:val="auto"/>
              </w:rPr>
              <w:t>①</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现有工程许可排放量</w:t>
            </w:r>
            <w:r>
              <w:rPr>
                <w:rFonts w:hint="eastAsia" w:ascii="宋体" w:hAnsi="宋体" w:cs="宋体"/>
                <w:color w:val="auto"/>
              </w:rPr>
              <w:t>②</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在建工程排放量（固体废物产生量）</w:t>
            </w:r>
            <w:r>
              <w:rPr>
                <w:rFonts w:hint="eastAsia" w:ascii="宋体" w:hAnsi="宋体" w:cs="宋体"/>
                <w:color w:val="auto"/>
              </w:rPr>
              <w:t>③</w:t>
            </w:r>
          </w:p>
        </w:tc>
        <w:tc>
          <w:tcPr>
            <w:tcW w:w="153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本项目排放量（固体废物产生量）</w:t>
            </w:r>
            <w:r>
              <w:rPr>
                <w:rFonts w:hint="eastAsia" w:ascii="宋体" w:hAnsi="宋体" w:cs="宋体"/>
                <w:color w:val="auto"/>
              </w:rPr>
              <w:t>④</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以新带老消减量（新建项目不填）</w:t>
            </w:r>
            <w:r>
              <w:rPr>
                <w:rFonts w:hint="eastAsia" w:ascii="宋体" w:hAnsi="宋体" w:cs="宋体"/>
                <w:color w:val="auto"/>
              </w:rPr>
              <w:t>⑤</w:t>
            </w:r>
          </w:p>
        </w:tc>
        <w:tc>
          <w:tcPr>
            <w:tcW w:w="164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本项目建成后全厂排放量（固体废物产生量）</w:t>
            </w:r>
            <w:r>
              <w:rPr>
                <w:rFonts w:hint="eastAsia" w:ascii="宋体" w:hAnsi="宋体" w:cs="宋体"/>
                <w:color w:val="auto"/>
              </w:rPr>
              <w:t>⑥</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黑体"/>
                <w:color w:val="auto"/>
              </w:rPr>
            </w:pPr>
            <w:r>
              <w:rPr>
                <w:rFonts w:eastAsia="黑体"/>
                <w:color w:val="auto"/>
              </w:rPr>
              <w:t>变化量</w:t>
            </w:r>
            <w:r>
              <w:rPr>
                <w:rFonts w:hint="eastAsia" w:ascii="宋体" w:hAnsi="宋体" w:cs="宋体"/>
                <w:color w:val="auto"/>
              </w:rPr>
              <w:t>⑦</w:t>
            </w:r>
          </w:p>
        </w:tc>
      </w:tr>
      <w:tr>
        <w:tblPrEx>
          <w:tblCellMar>
            <w:top w:w="0" w:type="dxa"/>
            <w:left w:w="108" w:type="dxa"/>
            <w:bottom w:w="0" w:type="dxa"/>
            <w:right w:w="108" w:type="dxa"/>
          </w:tblCellMar>
        </w:tblPrEx>
        <w:tc>
          <w:tcPr>
            <w:tcW w:w="936"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废气</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11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非甲烷总烃</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112"/>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4.6914kg</w:t>
            </w:r>
            <w:r>
              <w:rPr>
                <w:rFonts w:hint="default" w:ascii="Times New Roman" w:hAnsi="Times New Roman" w:eastAsia="宋体" w:cs="Times New Roman"/>
                <w:color w:val="auto"/>
                <w:sz w:val="24"/>
                <w:szCs w:val="24"/>
              </w:rPr>
              <w:t>/a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112"/>
              <w:ind w:firstLine="0" w:firstLineChars="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4.6914kg</w:t>
            </w:r>
            <w:r>
              <w:rPr>
                <w:rFonts w:hint="default" w:ascii="Times New Roman" w:hAnsi="Times New Roman" w:eastAsia="宋体" w:cs="Times New Roman"/>
                <w:color w:val="auto"/>
                <w:sz w:val="24"/>
                <w:szCs w:val="24"/>
              </w:rPr>
              <w:t>/a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112"/>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锡及其化合物</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112"/>
              <w:ind w:firstLine="0" w:firstLineChars="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2.226kg</w:t>
            </w:r>
            <w:r>
              <w:rPr>
                <w:rFonts w:hint="default" w:ascii="Times New Roman" w:hAnsi="Times New Roman" w:eastAsia="宋体" w:cs="Times New Roman"/>
                <w:color w:val="auto"/>
                <w:sz w:val="24"/>
                <w:szCs w:val="24"/>
              </w:rPr>
              <w:t>/a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112"/>
              <w:ind w:firstLine="0" w:firstLineChars="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2.226kg</w:t>
            </w:r>
            <w:r>
              <w:rPr>
                <w:rFonts w:hint="default" w:ascii="Times New Roman" w:hAnsi="Times New Roman" w:eastAsia="宋体" w:cs="Times New Roman"/>
                <w:color w:val="auto"/>
                <w:sz w:val="24"/>
                <w:szCs w:val="24"/>
              </w:rPr>
              <w:t>/a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112"/>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颗粒物</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112"/>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2.44kg</w:t>
            </w:r>
            <w:r>
              <w:rPr>
                <w:rFonts w:hint="default" w:ascii="Times New Roman" w:hAnsi="Times New Roman" w:eastAsia="宋体" w:cs="Times New Roman"/>
                <w:color w:val="auto"/>
                <w:sz w:val="24"/>
                <w:szCs w:val="24"/>
              </w:rPr>
              <w:t>/a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112"/>
              <w:ind w:firstLine="0" w:firstLineChar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2.44kg</w:t>
            </w:r>
            <w:r>
              <w:rPr>
                <w:rFonts w:hint="default" w:ascii="Times New Roman" w:hAnsi="Times New Roman" w:eastAsia="宋体" w:cs="Times New Roman"/>
                <w:color w:val="auto"/>
                <w:sz w:val="24"/>
                <w:szCs w:val="24"/>
              </w:rPr>
              <w:t>/a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r>
      <w:tr>
        <w:tblPrEx>
          <w:tblCellMar>
            <w:top w:w="0" w:type="dxa"/>
            <w:left w:w="108" w:type="dxa"/>
            <w:bottom w:w="0" w:type="dxa"/>
            <w:right w:w="108" w:type="dxa"/>
          </w:tblCellMar>
        </w:tblPrEx>
        <w:tc>
          <w:tcPr>
            <w:tcW w:w="936" w:type="dxa"/>
            <w:vMerge w:val="restart"/>
            <w:tcBorders>
              <w:top w:val="single" w:color="auto" w:sz="4" w:space="0"/>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废水</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生活污水</w:t>
            </w: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COD</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0.0541</w:t>
            </w:r>
            <w:r>
              <w:rPr>
                <w:color w:val="auto"/>
                <w:sz w:val="24"/>
                <w:szCs w:val="24"/>
              </w:rPr>
              <w:t>t/a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0.0541</w:t>
            </w:r>
            <w:r>
              <w:rPr>
                <w:color w:val="auto"/>
                <w:sz w:val="24"/>
                <w:szCs w:val="24"/>
              </w:rPr>
              <w:t>t/a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BOD</w:t>
            </w:r>
            <w:r>
              <w:rPr>
                <w:rFonts w:hint="default" w:ascii="Times New Roman" w:hAnsi="Times New Roman" w:eastAsia="宋体" w:cs="Times New Roman"/>
                <w:color w:val="auto"/>
                <w:sz w:val="24"/>
                <w:szCs w:val="24"/>
                <w:vertAlign w:val="subscript"/>
              </w:rPr>
              <w:t>5</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0.0254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0.0254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SS</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0.0064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0.0064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氨氮</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0.0062</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0.0062</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总氮</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0.0084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0.0084</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总磷</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0.0008</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iCs w:val="0"/>
                <w:color w:val="auto"/>
                <w:kern w:val="0"/>
                <w:sz w:val="24"/>
                <w:szCs w:val="24"/>
                <w:u w:val="none"/>
                <w:lang w:val="en-US" w:eastAsia="zh-CN" w:bidi="ar"/>
              </w:rPr>
              <w:t>0.0008</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一般工业固体废物</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废塑料膜、废编带</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1.0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1.0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残次品</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3.0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3.0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w:t>
            </w:r>
          </w:p>
        </w:tc>
      </w:tr>
      <w:tr>
        <w:tblPrEx>
          <w:tblCellMar>
            <w:top w:w="0" w:type="dxa"/>
            <w:left w:w="108" w:type="dxa"/>
            <w:bottom w:w="0" w:type="dxa"/>
            <w:right w:w="108" w:type="dxa"/>
          </w:tblCellMar>
        </w:tblPrEx>
        <w:tc>
          <w:tcPr>
            <w:tcW w:w="936" w:type="dxa"/>
            <w:vMerge w:val="continue"/>
            <w:tcBorders>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不合格产品</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eastAsia" w:ascii="Times New Roman" w:hAnsi="Times New Roman" w:eastAsia="宋体" w:cs="Times New Roman"/>
                <w:color w:val="auto"/>
                <w:sz w:val="24"/>
                <w:szCs w:val="24"/>
                <w:lang w:val="en-US" w:eastAsia="zh-CN"/>
              </w:rPr>
            </w:pPr>
            <w:r>
              <w:rPr>
                <w:rFonts w:hint="eastAsia"/>
                <w:color w:val="auto"/>
                <w:sz w:val="24"/>
                <w:szCs w:val="24"/>
                <w:lang w:val="en-US" w:eastAsia="zh-CN"/>
              </w:rPr>
              <w:t>2.0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2.0</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危险废物</w:t>
            </w: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废过滤棉</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30.15kg/a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30.15kg/a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rPr>
              <w:t>废活性炭</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73.3kg/a</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73.3kg/a</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rPr>
              <w:t>废润滑油</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0.9</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0.9</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rPr>
              <w:t>废油桶</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0.05</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0.05</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r>
        <w:tblPrEx>
          <w:tblCellMar>
            <w:top w:w="0" w:type="dxa"/>
            <w:left w:w="108" w:type="dxa"/>
            <w:bottom w:w="0" w:type="dxa"/>
            <w:right w:w="108" w:type="dxa"/>
          </w:tblCellMar>
        </w:tblPrEx>
        <w:tc>
          <w:tcPr>
            <w:tcW w:w="936" w:type="dxa"/>
            <w:vMerge w:val="continue"/>
            <w:tcBorders>
              <w:top w:val="single" w:color="auto" w:sz="4" w:space="0"/>
              <w:left w:val="single" w:color="auto" w:sz="4" w:space="0"/>
              <w:bottom w:val="single" w:color="auto" w:sz="4" w:space="0"/>
              <w:right w:val="single" w:color="auto" w:sz="4" w:space="0"/>
            </w:tcBorders>
            <w:vAlign w:val="center"/>
          </w:tcPr>
          <w:p>
            <w:pPr>
              <w:ind w:firstLine="480"/>
              <w:jc w:val="center"/>
              <w:rPr>
                <w:rFonts w:hint="default" w:ascii="Times New Roman" w:hAnsi="Times New Roman" w:eastAsia="宋体" w:cs="Times New Roman"/>
                <w:color w:val="auto"/>
                <w:sz w:val="24"/>
                <w:szCs w:val="24"/>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rPr>
              <w:t>废含油抹布/手套</w:t>
            </w:r>
          </w:p>
        </w:tc>
        <w:tc>
          <w:tcPr>
            <w:tcW w:w="165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3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532"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0.05</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41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c>
          <w:tcPr>
            <w:tcW w:w="1641" w:type="dxa"/>
            <w:tcBorders>
              <w:top w:val="single" w:color="auto" w:sz="4" w:space="0"/>
              <w:left w:val="single" w:color="auto" w:sz="4" w:space="0"/>
              <w:bottom w:val="single" w:color="auto" w:sz="4" w:space="0"/>
              <w:right w:val="single" w:color="auto" w:sz="4" w:space="0"/>
            </w:tcBorders>
            <w:vAlign w:val="center"/>
          </w:tcPr>
          <w:p>
            <w:pPr>
              <w:pStyle w:val="98"/>
              <w:rPr>
                <w:rFonts w:hint="default" w:ascii="Times New Roman" w:hAnsi="Times New Roman" w:eastAsia="宋体" w:cs="Times New Roman"/>
                <w:color w:val="auto"/>
                <w:sz w:val="24"/>
                <w:szCs w:val="24"/>
              </w:rPr>
            </w:pPr>
            <w:r>
              <w:rPr>
                <w:rFonts w:hint="eastAsia"/>
                <w:color w:val="auto"/>
                <w:sz w:val="24"/>
                <w:szCs w:val="24"/>
                <w:lang w:val="en-US" w:eastAsia="zh-CN"/>
              </w:rPr>
              <w:t>0.05</w:t>
            </w:r>
            <w:r>
              <w:rPr>
                <w:color w:val="auto"/>
                <w:sz w:val="24"/>
                <w:szCs w:val="24"/>
              </w:rPr>
              <w:t>t/a</w:t>
            </w:r>
            <w:r>
              <w:rPr>
                <w:rFonts w:hint="default" w:ascii="Times New Roman" w:hAnsi="Times New Roman" w:eastAsia="宋体" w:cs="Times New Roman"/>
                <w:i w:val="0"/>
                <w:iCs w:val="0"/>
                <w:color w:val="auto"/>
                <w:kern w:val="0"/>
                <w:sz w:val="24"/>
                <w:szCs w:val="24"/>
                <w:u w:val="none"/>
                <w:lang w:val="en-US" w:eastAsia="zh-CN" w:bidi="ar"/>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p>
        </w:tc>
      </w:tr>
    </w:tbl>
    <w:p>
      <w:pPr>
        <w:pStyle w:val="49"/>
        <w:spacing w:before="192" w:beforeLines="80" w:after="24"/>
        <w:jc w:val="left"/>
        <w:rPr>
          <w:rFonts w:hAnsi="宋体" w:eastAsia="黑体"/>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sectPr>
      <w:footerReference r:id="rId5" w:type="default"/>
      <w:pgSz w:w="16838" w:h="11906" w:orient="landscape"/>
      <w:pgMar w:top="1304" w:right="1644" w:bottom="1304" w:left="1644"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loucester MT Extra Condensed">
    <w:altName w:val="MT Extra"/>
    <w:panose1 w:val="02030808020601010101"/>
    <w:charset w:val="00"/>
    <w:family w:val="roman"/>
    <w:pitch w:val="default"/>
    <w:sig w:usb0="00000000" w:usb1="00000000" w:usb2="00000000" w:usb3="00000000" w:csb0="2000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22"/>
        <w:tab w:val="left" w:pos="4995"/>
      </w:tabs>
      <w:rPr>
        <w:sz w:val="21"/>
        <w:szCs w:val="21"/>
      </w:rPr>
    </w:pPr>
    <w:r>
      <w:rPr>
        <w:sz w:val="21"/>
        <w:szCs w:val="21"/>
      </w:rPr>
      <w:tab/>
    </w:r>
    <w:r>
      <w:rPr>
        <w:sz w:val="21"/>
        <w:szCs w:val="21"/>
      </w:rPr>
      <w:tab/>
    </w:r>
    <w:r>
      <w:rPr>
        <w:sz w:val="21"/>
        <w:szCs w:val="21"/>
      </w:rPr>
      <w:tab/>
    </w:r>
  </w:p>
  <w:p>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22"/>
        <w:tab w:val="left" w:pos="4995"/>
      </w:tabs>
      <w:jc w:val="center"/>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60</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60</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Style w:val="33"/>
                              <w:rFonts w:ascii="宋体" w:hAnsi="宋体"/>
                              <w:sz w:val="28"/>
                              <w:szCs w:val="28"/>
                            </w:rPr>
                          </w:pPr>
                          <w:r>
                            <w:rPr>
                              <w:rStyle w:val="33"/>
                              <w:rFonts w:hint="eastAsia" w:ascii="宋体" w:hAnsi="宋体"/>
                              <w:sz w:val="28"/>
                              <w:szCs w:val="28"/>
                            </w:rPr>
                            <w:t>—</w:t>
                          </w:r>
                          <w:r>
                            <w:rPr>
                              <w:rStyle w:val="33"/>
                              <w:rFonts w:ascii="宋体" w:hAnsi="宋体"/>
                              <w:sz w:val="20"/>
                            </w:rPr>
                            <w:t xml:space="preserve">  </w:t>
                          </w:r>
                          <w:r>
                            <w:rPr>
                              <w:rStyle w:val="33"/>
                              <w:sz w:val="21"/>
                              <w:szCs w:val="21"/>
                            </w:rPr>
                            <w:fldChar w:fldCharType="begin"/>
                          </w:r>
                          <w:r>
                            <w:rPr>
                              <w:rStyle w:val="33"/>
                              <w:sz w:val="21"/>
                              <w:szCs w:val="21"/>
                            </w:rPr>
                            <w:instrText xml:space="preserve">PAGE  </w:instrText>
                          </w:r>
                          <w:r>
                            <w:rPr>
                              <w:rStyle w:val="33"/>
                              <w:sz w:val="21"/>
                              <w:szCs w:val="21"/>
                            </w:rPr>
                            <w:fldChar w:fldCharType="separate"/>
                          </w:r>
                          <w:r>
                            <w:rPr>
                              <w:rStyle w:val="33"/>
                              <w:sz w:val="21"/>
                              <w:szCs w:val="21"/>
                            </w:rPr>
                            <w:t>- 64 -</w:t>
                          </w:r>
                          <w:r>
                            <w:rPr>
                              <w:rStyle w:val="33"/>
                              <w:sz w:val="21"/>
                              <w:szCs w:val="21"/>
                            </w:rPr>
                            <w:fldChar w:fldCharType="end"/>
                          </w:r>
                          <w:r>
                            <w:rPr>
                              <w:rStyle w:val="33"/>
                              <w:rFonts w:ascii="宋体" w:hAnsi="宋体"/>
                              <w:sz w:val="20"/>
                            </w:rPr>
                            <w:t xml:space="preserve">  </w:t>
                          </w:r>
                          <w:r>
                            <w:rPr>
                              <w:rStyle w:val="33"/>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qOXMMBAACP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fUuK4xYmff/44//pz/v2d&#10;oA8F6gPUmHcfMDMN7/yAazP7AZ2Z96CizV9kRDCO8p4u8sohEZEfrZarVYUhgbH5gvjs4XmIkN5L&#10;b0k2GhpxfkVWfvwIaUydU3I15++0MWWGxv3jQMzsYbn3scdspWE3TIR2vj0hnx5H31CHm06J+eBQ&#10;2bwlsxFnYzcZuQaE20PCwqWfjDpCTcVwToXRtFN5ER7fS9bDf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h2o5cwwEAAI8DAAAOAAAAAAAAAAEAIAAAAB4BAABkcnMvZTJvRG9jLnhtbFBL&#10;BQYAAAAABgAGAFkBAABTBQAAAAA=&#10;">
              <v:fill on="f" focussize="0,0"/>
              <v:stroke on="f"/>
              <v:imagedata o:title=""/>
              <o:lock v:ext="edit" aspectratio="f"/>
              <v:textbox inset="0mm,0mm,0mm,0mm" style="mso-fit-shape-to-text:t;">
                <w:txbxContent>
                  <w:p>
                    <w:pPr>
                      <w:pStyle w:val="19"/>
                      <w:rPr>
                        <w:rStyle w:val="33"/>
                        <w:rFonts w:ascii="宋体" w:hAnsi="宋体"/>
                        <w:sz w:val="28"/>
                        <w:szCs w:val="28"/>
                      </w:rPr>
                    </w:pPr>
                    <w:r>
                      <w:rPr>
                        <w:rStyle w:val="33"/>
                        <w:rFonts w:hint="eastAsia" w:ascii="宋体" w:hAnsi="宋体"/>
                        <w:sz w:val="28"/>
                        <w:szCs w:val="28"/>
                      </w:rPr>
                      <w:t>—</w:t>
                    </w:r>
                    <w:r>
                      <w:rPr>
                        <w:rStyle w:val="33"/>
                        <w:rFonts w:ascii="宋体" w:hAnsi="宋体"/>
                        <w:sz w:val="20"/>
                      </w:rPr>
                      <w:t xml:space="preserve">  </w:t>
                    </w:r>
                    <w:r>
                      <w:rPr>
                        <w:rStyle w:val="33"/>
                        <w:sz w:val="21"/>
                        <w:szCs w:val="21"/>
                      </w:rPr>
                      <w:fldChar w:fldCharType="begin"/>
                    </w:r>
                    <w:r>
                      <w:rPr>
                        <w:rStyle w:val="33"/>
                        <w:sz w:val="21"/>
                        <w:szCs w:val="21"/>
                      </w:rPr>
                      <w:instrText xml:space="preserve">PAGE  </w:instrText>
                    </w:r>
                    <w:r>
                      <w:rPr>
                        <w:rStyle w:val="33"/>
                        <w:sz w:val="21"/>
                        <w:szCs w:val="21"/>
                      </w:rPr>
                      <w:fldChar w:fldCharType="separate"/>
                    </w:r>
                    <w:r>
                      <w:rPr>
                        <w:rStyle w:val="33"/>
                        <w:sz w:val="21"/>
                        <w:szCs w:val="21"/>
                      </w:rPr>
                      <w:t>- 64 -</w:t>
                    </w:r>
                    <w:r>
                      <w:rPr>
                        <w:rStyle w:val="33"/>
                        <w:sz w:val="21"/>
                        <w:szCs w:val="21"/>
                      </w:rPr>
                      <w:fldChar w:fldCharType="end"/>
                    </w:r>
                    <w:r>
                      <w:rPr>
                        <w:rStyle w:val="33"/>
                        <w:rFonts w:ascii="宋体" w:hAnsi="宋体"/>
                        <w:sz w:val="20"/>
                      </w:rPr>
                      <w:t xml:space="preserve">  </w:t>
                    </w:r>
                    <w:r>
                      <w:rPr>
                        <w:rStyle w:val="33"/>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F5A4"/>
    <w:multiLevelType w:val="singleLevel"/>
    <w:tmpl w:val="94A8F5A4"/>
    <w:lvl w:ilvl="0" w:tentative="0">
      <w:start w:val="1"/>
      <w:numFmt w:val="decimal"/>
      <w:suff w:val="nothing"/>
      <w:lvlText w:val="%1、"/>
      <w:lvlJc w:val="left"/>
    </w:lvl>
  </w:abstractNum>
  <w:abstractNum w:abstractNumId="1">
    <w:nsid w:val="BD5AAC0E"/>
    <w:multiLevelType w:val="singleLevel"/>
    <w:tmpl w:val="BD5AAC0E"/>
    <w:lvl w:ilvl="0" w:tentative="0">
      <w:start w:val="3"/>
      <w:numFmt w:val="decimal"/>
      <w:suff w:val="nothing"/>
      <w:lvlText w:val="%1）"/>
      <w:lvlJc w:val="left"/>
    </w:lvl>
  </w:abstractNum>
  <w:abstractNum w:abstractNumId="2">
    <w:nsid w:val="DD5B24DA"/>
    <w:multiLevelType w:val="singleLevel"/>
    <w:tmpl w:val="DD5B24DA"/>
    <w:lvl w:ilvl="0" w:tentative="0">
      <w:start w:val="3"/>
      <w:numFmt w:val="decimal"/>
      <w:suff w:val="nothing"/>
      <w:lvlText w:val="%1、"/>
      <w:lvlJc w:val="left"/>
    </w:lvl>
  </w:abstractNum>
  <w:abstractNum w:abstractNumId="3">
    <w:nsid w:val="EF361088"/>
    <w:multiLevelType w:val="singleLevel"/>
    <w:tmpl w:val="EF361088"/>
    <w:lvl w:ilvl="0" w:tentative="0">
      <w:start w:val="2"/>
      <w:numFmt w:val="decimal"/>
      <w:suff w:val="nothing"/>
      <w:lvlText w:val="（%1）"/>
      <w:lvlJc w:val="left"/>
      <w:rPr>
        <w:rFonts w:hint="default"/>
        <w:color w:val="auto"/>
        <w:sz w:val="24"/>
        <w:szCs w:val="24"/>
      </w:rPr>
    </w:lvl>
  </w:abstractNum>
  <w:abstractNum w:abstractNumId="4">
    <w:nsid w:val="02A6C1B4"/>
    <w:multiLevelType w:val="singleLevel"/>
    <w:tmpl w:val="02A6C1B4"/>
    <w:lvl w:ilvl="0" w:tentative="0">
      <w:start w:val="1"/>
      <w:numFmt w:val="decimal"/>
      <w:suff w:val="nothing"/>
      <w:lvlText w:val="%1、"/>
      <w:lvlJc w:val="left"/>
    </w:lvl>
  </w:abstractNum>
  <w:abstractNum w:abstractNumId="5">
    <w:nsid w:val="3295B1D3"/>
    <w:multiLevelType w:val="singleLevel"/>
    <w:tmpl w:val="3295B1D3"/>
    <w:lvl w:ilvl="0" w:tentative="0">
      <w:start w:val="1"/>
      <w:numFmt w:val="decimal"/>
      <w:suff w:val="nothing"/>
      <w:lvlText w:val="%1、"/>
      <w:lvlJc w:val="left"/>
    </w:lvl>
  </w:abstractNum>
  <w:abstractNum w:abstractNumId="6">
    <w:nsid w:val="360B48C6"/>
    <w:multiLevelType w:val="singleLevel"/>
    <w:tmpl w:val="360B48C6"/>
    <w:lvl w:ilvl="0" w:tentative="0">
      <w:start w:val="3"/>
      <w:numFmt w:val="chineseCounting"/>
      <w:suff w:val="nothing"/>
      <w:lvlText w:val="%1、"/>
      <w:lvlJc w:val="left"/>
      <w:rPr>
        <w:rFonts w:hint="eastAsia"/>
      </w:rPr>
    </w:lvl>
  </w:abstractNum>
  <w:abstractNum w:abstractNumId="7">
    <w:nsid w:val="47F0EF28"/>
    <w:multiLevelType w:val="singleLevel"/>
    <w:tmpl w:val="47F0EF28"/>
    <w:lvl w:ilvl="0" w:tentative="0">
      <w:start w:val="1"/>
      <w:numFmt w:val="decimal"/>
      <w:lvlText w:val="%1."/>
      <w:lvlJc w:val="left"/>
      <w:pPr>
        <w:tabs>
          <w:tab w:val="left" w:pos="312"/>
        </w:tabs>
      </w:pPr>
    </w:lvl>
  </w:abstractNum>
  <w:abstractNum w:abstractNumId="8">
    <w:nsid w:val="5A3DD6F4"/>
    <w:multiLevelType w:val="singleLevel"/>
    <w:tmpl w:val="5A3DD6F4"/>
    <w:lvl w:ilvl="0" w:tentative="0">
      <w:start w:val="1"/>
      <w:numFmt w:val="decimal"/>
      <w:lvlText w:val="%1."/>
      <w:lvlJc w:val="left"/>
      <w:pPr>
        <w:tabs>
          <w:tab w:val="left" w:pos="312"/>
        </w:tabs>
      </w:pPr>
    </w:lvl>
  </w:abstractNum>
  <w:abstractNum w:abstractNumId="9">
    <w:nsid w:val="6D71471C"/>
    <w:multiLevelType w:val="singleLevel"/>
    <w:tmpl w:val="6D71471C"/>
    <w:lvl w:ilvl="0" w:tentative="0">
      <w:start w:val="1"/>
      <w:numFmt w:val="decimal"/>
      <w:lvlText w:val="%1."/>
      <w:lvlJc w:val="left"/>
      <w:pPr>
        <w:tabs>
          <w:tab w:val="left" w:pos="312"/>
        </w:tabs>
      </w:pPr>
    </w:lvl>
  </w:abstractNum>
  <w:abstractNum w:abstractNumId="10">
    <w:nsid w:val="6EAA8A41"/>
    <w:multiLevelType w:val="singleLevel"/>
    <w:tmpl w:val="6EAA8A41"/>
    <w:lvl w:ilvl="0" w:tentative="0">
      <w:start w:val="1"/>
      <w:numFmt w:val="decimal"/>
      <w:suff w:val="nothing"/>
      <w:lvlText w:val="%1、"/>
      <w:lvlJc w:val="left"/>
    </w:lvl>
  </w:abstractNum>
  <w:abstractNum w:abstractNumId="11">
    <w:nsid w:val="7343C7AE"/>
    <w:multiLevelType w:val="singleLevel"/>
    <w:tmpl w:val="7343C7AE"/>
    <w:lvl w:ilvl="0" w:tentative="0">
      <w:start w:val="1"/>
      <w:numFmt w:val="decimal"/>
      <w:suff w:val="nothing"/>
      <w:lvlText w:val="%1、"/>
      <w:lvlJc w:val="left"/>
    </w:lvl>
  </w:abstractNum>
  <w:abstractNum w:abstractNumId="12">
    <w:nsid w:val="7A171073"/>
    <w:multiLevelType w:val="singleLevel"/>
    <w:tmpl w:val="7A171073"/>
    <w:lvl w:ilvl="0" w:tentative="0">
      <w:start w:val="2"/>
      <w:numFmt w:val="decimal"/>
      <w:suff w:val="nothing"/>
      <w:lvlText w:val="%1、"/>
      <w:lvlJc w:val="left"/>
    </w:lvl>
  </w:abstractNum>
  <w:num w:numId="1">
    <w:abstractNumId w:val="12"/>
  </w:num>
  <w:num w:numId="2">
    <w:abstractNumId w:val="3"/>
  </w:num>
  <w:num w:numId="3">
    <w:abstractNumId w:val="1"/>
  </w:num>
  <w:num w:numId="4">
    <w:abstractNumId w:val="7"/>
  </w:num>
  <w:num w:numId="5">
    <w:abstractNumId w:val="9"/>
  </w:num>
  <w:num w:numId="6">
    <w:abstractNumId w:val="8"/>
  </w:num>
  <w:num w:numId="7">
    <w:abstractNumId w:val="5"/>
  </w:num>
  <w:num w:numId="8">
    <w:abstractNumId w:val="4"/>
  </w:num>
  <w:num w:numId="9">
    <w:abstractNumId w:val="10"/>
  </w:num>
  <w:num w:numId="10">
    <w:abstractNumId w:val="11"/>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iYTdiZTZhZTg0NTMyMjI2Njc2YzlkYTMxNDU5OWUifQ=="/>
  </w:docVars>
  <w:rsids>
    <w:rsidRoot w:val="00A14947"/>
    <w:rsid w:val="000009D0"/>
    <w:rsid w:val="00003BEF"/>
    <w:rsid w:val="00005B32"/>
    <w:rsid w:val="000060B3"/>
    <w:rsid w:val="00010181"/>
    <w:rsid w:val="0001252C"/>
    <w:rsid w:val="00012F06"/>
    <w:rsid w:val="000145F7"/>
    <w:rsid w:val="00016306"/>
    <w:rsid w:val="000176E9"/>
    <w:rsid w:val="00020E8D"/>
    <w:rsid w:val="00024A5D"/>
    <w:rsid w:val="00025A9F"/>
    <w:rsid w:val="0002631D"/>
    <w:rsid w:val="000274E8"/>
    <w:rsid w:val="000327F0"/>
    <w:rsid w:val="00032D65"/>
    <w:rsid w:val="000379BF"/>
    <w:rsid w:val="00040DF2"/>
    <w:rsid w:val="0004364B"/>
    <w:rsid w:val="00053BA6"/>
    <w:rsid w:val="0005462D"/>
    <w:rsid w:val="00055C3B"/>
    <w:rsid w:val="00055D65"/>
    <w:rsid w:val="00056EA0"/>
    <w:rsid w:val="0005714E"/>
    <w:rsid w:val="000609D8"/>
    <w:rsid w:val="00060A26"/>
    <w:rsid w:val="00061B1F"/>
    <w:rsid w:val="0006564F"/>
    <w:rsid w:val="000659FD"/>
    <w:rsid w:val="00067775"/>
    <w:rsid w:val="0007007A"/>
    <w:rsid w:val="0007183D"/>
    <w:rsid w:val="000733C4"/>
    <w:rsid w:val="00074783"/>
    <w:rsid w:val="00075960"/>
    <w:rsid w:val="00076942"/>
    <w:rsid w:val="0008070B"/>
    <w:rsid w:val="000810AC"/>
    <w:rsid w:val="00081A02"/>
    <w:rsid w:val="00081F98"/>
    <w:rsid w:val="00082231"/>
    <w:rsid w:val="00084F49"/>
    <w:rsid w:val="00086743"/>
    <w:rsid w:val="000905BE"/>
    <w:rsid w:val="00092187"/>
    <w:rsid w:val="000925B4"/>
    <w:rsid w:val="00092B69"/>
    <w:rsid w:val="00092D38"/>
    <w:rsid w:val="0009377B"/>
    <w:rsid w:val="00096034"/>
    <w:rsid w:val="00096167"/>
    <w:rsid w:val="000A1469"/>
    <w:rsid w:val="000A20C9"/>
    <w:rsid w:val="000A69CA"/>
    <w:rsid w:val="000A7F1D"/>
    <w:rsid w:val="000B04BE"/>
    <w:rsid w:val="000B058F"/>
    <w:rsid w:val="000B3E6C"/>
    <w:rsid w:val="000B4467"/>
    <w:rsid w:val="000B4DB9"/>
    <w:rsid w:val="000B5E50"/>
    <w:rsid w:val="000B620C"/>
    <w:rsid w:val="000B70AA"/>
    <w:rsid w:val="000B78CE"/>
    <w:rsid w:val="000C075A"/>
    <w:rsid w:val="000C09AC"/>
    <w:rsid w:val="000C1138"/>
    <w:rsid w:val="000C19C0"/>
    <w:rsid w:val="000C2C1A"/>
    <w:rsid w:val="000C3A6E"/>
    <w:rsid w:val="000C62E9"/>
    <w:rsid w:val="000C767F"/>
    <w:rsid w:val="000C7E97"/>
    <w:rsid w:val="000D001D"/>
    <w:rsid w:val="000D0F0A"/>
    <w:rsid w:val="000D2CE5"/>
    <w:rsid w:val="000D33D7"/>
    <w:rsid w:val="000D38A2"/>
    <w:rsid w:val="000D4C37"/>
    <w:rsid w:val="000D534A"/>
    <w:rsid w:val="000D5A44"/>
    <w:rsid w:val="000D708D"/>
    <w:rsid w:val="000D7258"/>
    <w:rsid w:val="000E0764"/>
    <w:rsid w:val="000E2DAD"/>
    <w:rsid w:val="000E3ED2"/>
    <w:rsid w:val="000E4588"/>
    <w:rsid w:val="000E59AE"/>
    <w:rsid w:val="000F25D6"/>
    <w:rsid w:val="000F4B1C"/>
    <w:rsid w:val="00103399"/>
    <w:rsid w:val="00103B5F"/>
    <w:rsid w:val="00103C3D"/>
    <w:rsid w:val="00107D83"/>
    <w:rsid w:val="00112E73"/>
    <w:rsid w:val="001138BE"/>
    <w:rsid w:val="00114A85"/>
    <w:rsid w:val="00115407"/>
    <w:rsid w:val="00116C4E"/>
    <w:rsid w:val="00116C53"/>
    <w:rsid w:val="00116EC5"/>
    <w:rsid w:val="00116EEA"/>
    <w:rsid w:val="00117183"/>
    <w:rsid w:val="0012246D"/>
    <w:rsid w:val="001245EC"/>
    <w:rsid w:val="0012489A"/>
    <w:rsid w:val="00124BC2"/>
    <w:rsid w:val="00131F42"/>
    <w:rsid w:val="00132714"/>
    <w:rsid w:val="00133BB0"/>
    <w:rsid w:val="00134233"/>
    <w:rsid w:val="0013571A"/>
    <w:rsid w:val="001357F1"/>
    <w:rsid w:val="00140DC2"/>
    <w:rsid w:val="00140FA8"/>
    <w:rsid w:val="00141848"/>
    <w:rsid w:val="00141F03"/>
    <w:rsid w:val="00142FEB"/>
    <w:rsid w:val="0014392C"/>
    <w:rsid w:val="00143A2D"/>
    <w:rsid w:val="00143B6D"/>
    <w:rsid w:val="00145A41"/>
    <w:rsid w:val="00145FB5"/>
    <w:rsid w:val="00151675"/>
    <w:rsid w:val="0015301C"/>
    <w:rsid w:val="0015525C"/>
    <w:rsid w:val="00155DF9"/>
    <w:rsid w:val="00155EC6"/>
    <w:rsid w:val="00156F01"/>
    <w:rsid w:val="0015709C"/>
    <w:rsid w:val="00157435"/>
    <w:rsid w:val="00157F8F"/>
    <w:rsid w:val="00160075"/>
    <w:rsid w:val="0016146C"/>
    <w:rsid w:val="001618BE"/>
    <w:rsid w:val="00162890"/>
    <w:rsid w:val="00163039"/>
    <w:rsid w:val="00166C6B"/>
    <w:rsid w:val="00166D4E"/>
    <w:rsid w:val="0016735E"/>
    <w:rsid w:val="00170485"/>
    <w:rsid w:val="001716EB"/>
    <w:rsid w:val="00171798"/>
    <w:rsid w:val="0017504D"/>
    <w:rsid w:val="00175871"/>
    <w:rsid w:val="0017671A"/>
    <w:rsid w:val="00177422"/>
    <w:rsid w:val="001835D7"/>
    <w:rsid w:val="00184590"/>
    <w:rsid w:val="00184658"/>
    <w:rsid w:val="00185510"/>
    <w:rsid w:val="001870D1"/>
    <w:rsid w:val="0018781E"/>
    <w:rsid w:val="001909EC"/>
    <w:rsid w:val="001913B6"/>
    <w:rsid w:val="0019144A"/>
    <w:rsid w:val="00191624"/>
    <w:rsid w:val="0019262D"/>
    <w:rsid w:val="0019269D"/>
    <w:rsid w:val="00192A3C"/>
    <w:rsid w:val="0019366B"/>
    <w:rsid w:val="00195D14"/>
    <w:rsid w:val="00196E5D"/>
    <w:rsid w:val="001A1B35"/>
    <w:rsid w:val="001A3955"/>
    <w:rsid w:val="001A48A2"/>
    <w:rsid w:val="001A645C"/>
    <w:rsid w:val="001A6F61"/>
    <w:rsid w:val="001A7035"/>
    <w:rsid w:val="001A74B2"/>
    <w:rsid w:val="001B105D"/>
    <w:rsid w:val="001B14D8"/>
    <w:rsid w:val="001B6048"/>
    <w:rsid w:val="001B6572"/>
    <w:rsid w:val="001B6C48"/>
    <w:rsid w:val="001B72B8"/>
    <w:rsid w:val="001C0091"/>
    <w:rsid w:val="001C3245"/>
    <w:rsid w:val="001C328C"/>
    <w:rsid w:val="001C332F"/>
    <w:rsid w:val="001C34DA"/>
    <w:rsid w:val="001C4CEB"/>
    <w:rsid w:val="001C576F"/>
    <w:rsid w:val="001C69B3"/>
    <w:rsid w:val="001C7A21"/>
    <w:rsid w:val="001D15F6"/>
    <w:rsid w:val="001D1839"/>
    <w:rsid w:val="001D2194"/>
    <w:rsid w:val="001D36F5"/>
    <w:rsid w:val="001D4C8F"/>
    <w:rsid w:val="001D550F"/>
    <w:rsid w:val="001D5595"/>
    <w:rsid w:val="001D5F73"/>
    <w:rsid w:val="001D689D"/>
    <w:rsid w:val="001D6D8B"/>
    <w:rsid w:val="001D7874"/>
    <w:rsid w:val="001D7B35"/>
    <w:rsid w:val="001D7F22"/>
    <w:rsid w:val="001E1804"/>
    <w:rsid w:val="001E1E19"/>
    <w:rsid w:val="001E3629"/>
    <w:rsid w:val="001E5377"/>
    <w:rsid w:val="001E5FB5"/>
    <w:rsid w:val="001F023D"/>
    <w:rsid w:val="001F0AC7"/>
    <w:rsid w:val="001F0F17"/>
    <w:rsid w:val="001F3347"/>
    <w:rsid w:val="001F3507"/>
    <w:rsid w:val="001F69E4"/>
    <w:rsid w:val="001F72D7"/>
    <w:rsid w:val="00200B14"/>
    <w:rsid w:val="00200CF0"/>
    <w:rsid w:val="00201365"/>
    <w:rsid w:val="002038C9"/>
    <w:rsid w:val="00205425"/>
    <w:rsid w:val="0020776B"/>
    <w:rsid w:val="002101B1"/>
    <w:rsid w:val="00210398"/>
    <w:rsid w:val="002104B8"/>
    <w:rsid w:val="00210D75"/>
    <w:rsid w:val="00211BDB"/>
    <w:rsid w:val="002125B4"/>
    <w:rsid w:val="0021538C"/>
    <w:rsid w:val="002155B8"/>
    <w:rsid w:val="00216032"/>
    <w:rsid w:val="002162C8"/>
    <w:rsid w:val="00223782"/>
    <w:rsid w:val="002237A1"/>
    <w:rsid w:val="002241B6"/>
    <w:rsid w:val="00224839"/>
    <w:rsid w:val="002249B2"/>
    <w:rsid w:val="00225AAA"/>
    <w:rsid w:val="00226574"/>
    <w:rsid w:val="00226BF1"/>
    <w:rsid w:val="00227627"/>
    <w:rsid w:val="002278EC"/>
    <w:rsid w:val="00227C0B"/>
    <w:rsid w:val="00230C36"/>
    <w:rsid w:val="00231389"/>
    <w:rsid w:val="0023280E"/>
    <w:rsid w:val="00232B69"/>
    <w:rsid w:val="002334A5"/>
    <w:rsid w:val="00236432"/>
    <w:rsid w:val="00237061"/>
    <w:rsid w:val="00237410"/>
    <w:rsid w:val="002377D1"/>
    <w:rsid w:val="00240E5B"/>
    <w:rsid w:val="0024180D"/>
    <w:rsid w:val="00241B3A"/>
    <w:rsid w:val="002421B2"/>
    <w:rsid w:val="00246B0D"/>
    <w:rsid w:val="002479FB"/>
    <w:rsid w:val="002506BC"/>
    <w:rsid w:val="00251368"/>
    <w:rsid w:val="00251566"/>
    <w:rsid w:val="002523AE"/>
    <w:rsid w:val="0025377E"/>
    <w:rsid w:val="00254345"/>
    <w:rsid w:val="002551C0"/>
    <w:rsid w:val="002556FF"/>
    <w:rsid w:val="0025620A"/>
    <w:rsid w:val="002605E6"/>
    <w:rsid w:val="00261896"/>
    <w:rsid w:val="0026193F"/>
    <w:rsid w:val="002633CD"/>
    <w:rsid w:val="00264557"/>
    <w:rsid w:val="00266760"/>
    <w:rsid w:val="00266E89"/>
    <w:rsid w:val="0026714B"/>
    <w:rsid w:val="002701A5"/>
    <w:rsid w:val="00270773"/>
    <w:rsid w:val="00272760"/>
    <w:rsid w:val="00274116"/>
    <w:rsid w:val="00276B14"/>
    <w:rsid w:val="002805AB"/>
    <w:rsid w:val="0028369A"/>
    <w:rsid w:val="0028401D"/>
    <w:rsid w:val="00284204"/>
    <w:rsid w:val="00284A02"/>
    <w:rsid w:val="0028673D"/>
    <w:rsid w:val="00290BAA"/>
    <w:rsid w:val="0029157F"/>
    <w:rsid w:val="00291773"/>
    <w:rsid w:val="002947AC"/>
    <w:rsid w:val="002A168C"/>
    <w:rsid w:val="002A27D4"/>
    <w:rsid w:val="002A3DC7"/>
    <w:rsid w:val="002A6966"/>
    <w:rsid w:val="002B133B"/>
    <w:rsid w:val="002B2BA6"/>
    <w:rsid w:val="002B49E2"/>
    <w:rsid w:val="002B753E"/>
    <w:rsid w:val="002B7B00"/>
    <w:rsid w:val="002B7C44"/>
    <w:rsid w:val="002C274A"/>
    <w:rsid w:val="002C2B17"/>
    <w:rsid w:val="002C4B51"/>
    <w:rsid w:val="002C553B"/>
    <w:rsid w:val="002C556B"/>
    <w:rsid w:val="002C7944"/>
    <w:rsid w:val="002C7E6A"/>
    <w:rsid w:val="002D18E1"/>
    <w:rsid w:val="002D3605"/>
    <w:rsid w:val="002D3DD0"/>
    <w:rsid w:val="002D76B5"/>
    <w:rsid w:val="002E0283"/>
    <w:rsid w:val="002E1F3A"/>
    <w:rsid w:val="002E298A"/>
    <w:rsid w:val="002E2E15"/>
    <w:rsid w:val="002F0791"/>
    <w:rsid w:val="002F08EC"/>
    <w:rsid w:val="002F098E"/>
    <w:rsid w:val="002F0F09"/>
    <w:rsid w:val="002F45A1"/>
    <w:rsid w:val="002F4FEB"/>
    <w:rsid w:val="002F746F"/>
    <w:rsid w:val="002F7A2F"/>
    <w:rsid w:val="00300AEF"/>
    <w:rsid w:val="00301362"/>
    <w:rsid w:val="00301978"/>
    <w:rsid w:val="00301E9F"/>
    <w:rsid w:val="003026AD"/>
    <w:rsid w:val="0030332C"/>
    <w:rsid w:val="0030508D"/>
    <w:rsid w:val="003051C2"/>
    <w:rsid w:val="003075DD"/>
    <w:rsid w:val="00312296"/>
    <w:rsid w:val="00314F0E"/>
    <w:rsid w:val="0031775C"/>
    <w:rsid w:val="00321743"/>
    <w:rsid w:val="00321D8E"/>
    <w:rsid w:val="003247F6"/>
    <w:rsid w:val="0032499B"/>
    <w:rsid w:val="00325928"/>
    <w:rsid w:val="00327443"/>
    <w:rsid w:val="00327477"/>
    <w:rsid w:val="00332863"/>
    <w:rsid w:val="00332CB4"/>
    <w:rsid w:val="00333617"/>
    <w:rsid w:val="00333731"/>
    <w:rsid w:val="00335E84"/>
    <w:rsid w:val="0033684D"/>
    <w:rsid w:val="0033686B"/>
    <w:rsid w:val="0033759E"/>
    <w:rsid w:val="00337B42"/>
    <w:rsid w:val="00337CF3"/>
    <w:rsid w:val="00341B42"/>
    <w:rsid w:val="0034348F"/>
    <w:rsid w:val="003446C9"/>
    <w:rsid w:val="00346980"/>
    <w:rsid w:val="00351462"/>
    <w:rsid w:val="003521D2"/>
    <w:rsid w:val="00352975"/>
    <w:rsid w:val="0035409C"/>
    <w:rsid w:val="0035664E"/>
    <w:rsid w:val="00356653"/>
    <w:rsid w:val="0035743F"/>
    <w:rsid w:val="00357BE2"/>
    <w:rsid w:val="00357F3D"/>
    <w:rsid w:val="00360AC9"/>
    <w:rsid w:val="0036170C"/>
    <w:rsid w:val="003620D0"/>
    <w:rsid w:val="00362AD1"/>
    <w:rsid w:val="00363101"/>
    <w:rsid w:val="00365688"/>
    <w:rsid w:val="003658D4"/>
    <w:rsid w:val="003664E4"/>
    <w:rsid w:val="00366E0F"/>
    <w:rsid w:val="0037561E"/>
    <w:rsid w:val="00377AFA"/>
    <w:rsid w:val="003800A8"/>
    <w:rsid w:val="00381A72"/>
    <w:rsid w:val="00384676"/>
    <w:rsid w:val="00384709"/>
    <w:rsid w:val="003861B3"/>
    <w:rsid w:val="003866AD"/>
    <w:rsid w:val="003868B1"/>
    <w:rsid w:val="003900B4"/>
    <w:rsid w:val="00390857"/>
    <w:rsid w:val="00392672"/>
    <w:rsid w:val="00392A84"/>
    <w:rsid w:val="00393A4E"/>
    <w:rsid w:val="00395900"/>
    <w:rsid w:val="00395F24"/>
    <w:rsid w:val="003962ED"/>
    <w:rsid w:val="003A0A85"/>
    <w:rsid w:val="003A4BF3"/>
    <w:rsid w:val="003A7709"/>
    <w:rsid w:val="003B028D"/>
    <w:rsid w:val="003B1C95"/>
    <w:rsid w:val="003B38BD"/>
    <w:rsid w:val="003B420D"/>
    <w:rsid w:val="003B5C43"/>
    <w:rsid w:val="003B757B"/>
    <w:rsid w:val="003C1A90"/>
    <w:rsid w:val="003C2020"/>
    <w:rsid w:val="003C6C16"/>
    <w:rsid w:val="003C7612"/>
    <w:rsid w:val="003C7C65"/>
    <w:rsid w:val="003D0517"/>
    <w:rsid w:val="003D0E66"/>
    <w:rsid w:val="003D1647"/>
    <w:rsid w:val="003D3BBB"/>
    <w:rsid w:val="003D3F74"/>
    <w:rsid w:val="003D41F8"/>
    <w:rsid w:val="003D69D5"/>
    <w:rsid w:val="003D6B31"/>
    <w:rsid w:val="003D6C10"/>
    <w:rsid w:val="003D794D"/>
    <w:rsid w:val="003E04A9"/>
    <w:rsid w:val="003E12FB"/>
    <w:rsid w:val="003E3058"/>
    <w:rsid w:val="003E4438"/>
    <w:rsid w:val="003E76A9"/>
    <w:rsid w:val="003F0809"/>
    <w:rsid w:val="003F1137"/>
    <w:rsid w:val="003F4974"/>
    <w:rsid w:val="003F6A8C"/>
    <w:rsid w:val="003F6E56"/>
    <w:rsid w:val="003F70DC"/>
    <w:rsid w:val="003F755C"/>
    <w:rsid w:val="003F79D1"/>
    <w:rsid w:val="00400929"/>
    <w:rsid w:val="00401A3F"/>
    <w:rsid w:val="0040270F"/>
    <w:rsid w:val="004028CA"/>
    <w:rsid w:val="004047A4"/>
    <w:rsid w:val="00406200"/>
    <w:rsid w:val="00406F01"/>
    <w:rsid w:val="0041035B"/>
    <w:rsid w:val="004166B0"/>
    <w:rsid w:val="004169EB"/>
    <w:rsid w:val="00416D50"/>
    <w:rsid w:val="00416FD5"/>
    <w:rsid w:val="00417772"/>
    <w:rsid w:val="00420D3F"/>
    <w:rsid w:val="00420E6A"/>
    <w:rsid w:val="00422E5B"/>
    <w:rsid w:val="00423E66"/>
    <w:rsid w:val="0042477B"/>
    <w:rsid w:val="00424F7D"/>
    <w:rsid w:val="00425A9E"/>
    <w:rsid w:val="004263A6"/>
    <w:rsid w:val="004264B9"/>
    <w:rsid w:val="00426D6B"/>
    <w:rsid w:val="00431E6C"/>
    <w:rsid w:val="00433B20"/>
    <w:rsid w:val="00433CE7"/>
    <w:rsid w:val="004342AF"/>
    <w:rsid w:val="00441709"/>
    <w:rsid w:val="00444472"/>
    <w:rsid w:val="00451617"/>
    <w:rsid w:val="00452738"/>
    <w:rsid w:val="00456091"/>
    <w:rsid w:val="004577CD"/>
    <w:rsid w:val="0046265A"/>
    <w:rsid w:val="0046300F"/>
    <w:rsid w:val="00466321"/>
    <w:rsid w:val="00467229"/>
    <w:rsid w:val="004676F4"/>
    <w:rsid w:val="00470024"/>
    <w:rsid w:val="00470CA5"/>
    <w:rsid w:val="00471441"/>
    <w:rsid w:val="00474202"/>
    <w:rsid w:val="00474B7A"/>
    <w:rsid w:val="00476C3A"/>
    <w:rsid w:val="00480130"/>
    <w:rsid w:val="004810C5"/>
    <w:rsid w:val="00484B9B"/>
    <w:rsid w:val="004855F6"/>
    <w:rsid w:val="0048661E"/>
    <w:rsid w:val="004919AE"/>
    <w:rsid w:val="00494670"/>
    <w:rsid w:val="00494C2C"/>
    <w:rsid w:val="00494D53"/>
    <w:rsid w:val="00494DD7"/>
    <w:rsid w:val="00494FBD"/>
    <w:rsid w:val="00495615"/>
    <w:rsid w:val="00495B66"/>
    <w:rsid w:val="00495FC2"/>
    <w:rsid w:val="004962DB"/>
    <w:rsid w:val="00497936"/>
    <w:rsid w:val="004A0F71"/>
    <w:rsid w:val="004A3823"/>
    <w:rsid w:val="004B0E45"/>
    <w:rsid w:val="004B4B18"/>
    <w:rsid w:val="004B4E26"/>
    <w:rsid w:val="004B4FC6"/>
    <w:rsid w:val="004B5306"/>
    <w:rsid w:val="004B65E1"/>
    <w:rsid w:val="004C2A37"/>
    <w:rsid w:val="004C32ED"/>
    <w:rsid w:val="004C6993"/>
    <w:rsid w:val="004D1356"/>
    <w:rsid w:val="004D1EE4"/>
    <w:rsid w:val="004D2583"/>
    <w:rsid w:val="004D58D3"/>
    <w:rsid w:val="004E271A"/>
    <w:rsid w:val="004E284A"/>
    <w:rsid w:val="004E30D4"/>
    <w:rsid w:val="004E5CEC"/>
    <w:rsid w:val="004E61D5"/>
    <w:rsid w:val="004E6946"/>
    <w:rsid w:val="004E7BC8"/>
    <w:rsid w:val="004F1AD8"/>
    <w:rsid w:val="00501142"/>
    <w:rsid w:val="00501704"/>
    <w:rsid w:val="005037C7"/>
    <w:rsid w:val="005039CB"/>
    <w:rsid w:val="0050558F"/>
    <w:rsid w:val="00505D9B"/>
    <w:rsid w:val="00506286"/>
    <w:rsid w:val="00506B44"/>
    <w:rsid w:val="00510813"/>
    <w:rsid w:val="00511990"/>
    <w:rsid w:val="00511DE0"/>
    <w:rsid w:val="00512DC8"/>
    <w:rsid w:val="005135E2"/>
    <w:rsid w:val="00513E38"/>
    <w:rsid w:val="00514193"/>
    <w:rsid w:val="00514870"/>
    <w:rsid w:val="00514B65"/>
    <w:rsid w:val="00514B9B"/>
    <w:rsid w:val="00514D89"/>
    <w:rsid w:val="00514E05"/>
    <w:rsid w:val="0051655E"/>
    <w:rsid w:val="005178B5"/>
    <w:rsid w:val="00517F02"/>
    <w:rsid w:val="0052020A"/>
    <w:rsid w:val="00524303"/>
    <w:rsid w:val="005258A2"/>
    <w:rsid w:val="00525C02"/>
    <w:rsid w:val="005262E9"/>
    <w:rsid w:val="00526C23"/>
    <w:rsid w:val="00530A78"/>
    <w:rsid w:val="00531786"/>
    <w:rsid w:val="00532EF1"/>
    <w:rsid w:val="00534104"/>
    <w:rsid w:val="00534E24"/>
    <w:rsid w:val="005401AE"/>
    <w:rsid w:val="005402E5"/>
    <w:rsid w:val="00542E07"/>
    <w:rsid w:val="00543D28"/>
    <w:rsid w:val="00545424"/>
    <w:rsid w:val="00546C7C"/>
    <w:rsid w:val="00550391"/>
    <w:rsid w:val="00551D8B"/>
    <w:rsid w:val="00554A7B"/>
    <w:rsid w:val="00554DC9"/>
    <w:rsid w:val="0055572C"/>
    <w:rsid w:val="005565FD"/>
    <w:rsid w:val="00556670"/>
    <w:rsid w:val="0056106A"/>
    <w:rsid w:val="005610D6"/>
    <w:rsid w:val="00561854"/>
    <w:rsid w:val="00562029"/>
    <w:rsid w:val="0056413D"/>
    <w:rsid w:val="005642F9"/>
    <w:rsid w:val="00565224"/>
    <w:rsid w:val="005659E0"/>
    <w:rsid w:val="00565EAC"/>
    <w:rsid w:val="00566668"/>
    <w:rsid w:val="00567348"/>
    <w:rsid w:val="00571BC3"/>
    <w:rsid w:val="005720AE"/>
    <w:rsid w:val="00574322"/>
    <w:rsid w:val="00574B1B"/>
    <w:rsid w:val="0057710A"/>
    <w:rsid w:val="00580507"/>
    <w:rsid w:val="00581CC5"/>
    <w:rsid w:val="00582897"/>
    <w:rsid w:val="00582ABD"/>
    <w:rsid w:val="00584A3D"/>
    <w:rsid w:val="005861D9"/>
    <w:rsid w:val="005864C2"/>
    <w:rsid w:val="00586C76"/>
    <w:rsid w:val="0059205B"/>
    <w:rsid w:val="00593805"/>
    <w:rsid w:val="00594D77"/>
    <w:rsid w:val="005969E4"/>
    <w:rsid w:val="0059731C"/>
    <w:rsid w:val="005A0277"/>
    <w:rsid w:val="005A06B7"/>
    <w:rsid w:val="005A0C22"/>
    <w:rsid w:val="005A1759"/>
    <w:rsid w:val="005A213E"/>
    <w:rsid w:val="005A2DD9"/>
    <w:rsid w:val="005A45CC"/>
    <w:rsid w:val="005A68A7"/>
    <w:rsid w:val="005A6934"/>
    <w:rsid w:val="005A6DA8"/>
    <w:rsid w:val="005B1DBC"/>
    <w:rsid w:val="005B36EE"/>
    <w:rsid w:val="005B4B69"/>
    <w:rsid w:val="005C06DC"/>
    <w:rsid w:val="005C0F1E"/>
    <w:rsid w:val="005C6913"/>
    <w:rsid w:val="005C6F0A"/>
    <w:rsid w:val="005D1213"/>
    <w:rsid w:val="005D1608"/>
    <w:rsid w:val="005D1A19"/>
    <w:rsid w:val="005D1BDA"/>
    <w:rsid w:val="005D36AB"/>
    <w:rsid w:val="005E3BD6"/>
    <w:rsid w:val="005E47DD"/>
    <w:rsid w:val="005E5F33"/>
    <w:rsid w:val="005E66F8"/>
    <w:rsid w:val="005E735C"/>
    <w:rsid w:val="005F0014"/>
    <w:rsid w:val="005F6A66"/>
    <w:rsid w:val="005F774E"/>
    <w:rsid w:val="0060130B"/>
    <w:rsid w:val="00601890"/>
    <w:rsid w:val="00601A03"/>
    <w:rsid w:val="00602476"/>
    <w:rsid w:val="00604011"/>
    <w:rsid w:val="006047FD"/>
    <w:rsid w:val="0060522B"/>
    <w:rsid w:val="006069F2"/>
    <w:rsid w:val="00606BDE"/>
    <w:rsid w:val="006074E6"/>
    <w:rsid w:val="00610E50"/>
    <w:rsid w:val="00612AAB"/>
    <w:rsid w:val="00614827"/>
    <w:rsid w:val="00617338"/>
    <w:rsid w:val="00617AD4"/>
    <w:rsid w:val="00617CAC"/>
    <w:rsid w:val="00617CC3"/>
    <w:rsid w:val="0062095D"/>
    <w:rsid w:val="006263D3"/>
    <w:rsid w:val="00627BD6"/>
    <w:rsid w:val="00630F86"/>
    <w:rsid w:val="006355EB"/>
    <w:rsid w:val="0063768F"/>
    <w:rsid w:val="006377A6"/>
    <w:rsid w:val="00637A3D"/>
    <w:rsid w:val="006411EF"/>
    <w:rsid w:val="00641B25"/>
    <w:rsid w:val="0064218E"/>
    <w:rsid w:val="00642A73"/>
    <w:rsid w:val="00645577"/>
    <w:rsid w:val="00645DA0"/>
    <w:rsid w:val="00645DD2"/>
    <w:rsid w:val="00650180"/>
    <w:rsid w:val="006513A3"/>
    <w:rsid w:val="00651EE3"/>
    <w:rsid w:val="0065336E"/>
    <w:rsid w:val="006536B2"/>
    <w:rsid w:val="006548D2"/>
    <w:rsid w:val="00657405"/>
    <w:rsid w:val="0066085F"/>
    <w:rsid w:val="00661508"/>
    <w:rsid w:val="006629B3"/>
    <w:rsid w:val="00663FB4"/>
    <w:rsid w:val="00664A78"/>
    <w:rsid w:val="006679E6"/>
    <w:rsid w:val="00673898"/>
    <w:rsid w:val="00673DBB"/>
    <w:rsid w:val="00673FC1"/>
    <w:rsid w:val="0067418B"/>
    <w:rsid w:val="006748B8"/>
    <w:rsid w:val="0067545C"/>
    <w:rsid w:val="00677335"/>
    <w:rsid w:val="006775C3"/>
    <w:rsid w:val="006778CC"/>
    <w:rsid w:val="00680392"/>
    <w:rsid w:val="00680D1D"/>
    <w:rsid w:val="00682418"/>
    <w:rsid w:val="006827C8"/>
    <w:rsid w:val="006837C4"/>
    <w:rsid w:val="00684675"/>
    <w:rsid w:val="0068512B"/>
    <w:rsid w:val="006851D6"/>
    <w:rsid w:val="00685950"/>
    <w:rsid w:val="00686504"/>
    <w:rsid w:val="00686A35"/>
    <w:rsid w:val="00687211"/>
    <w:rsid w:val="006877B7"/>
    <w:rsid w:val="00687E62"/>
    <w:rsid w:val="00687FA9"/>
    <w:rsid w:val="0069193D"/>
    <w:rsid w:val="00692125"/>
    <w:rsid w:val="0069290A"/>
    <w:rsid w:val="00693778"/>
    <w:rsid w:val="00693815"/>
    <w:rsid w:val="00694B77"/>
    <w:rsid w:val="0069532B"/>
    <w:rsid w:val="00696722"/>
    <w:rsid w:val="00696885"/>
    <w:rsid w:val="0069710B"/>
    <w:rsid w:val="006976A9"/>
    <w:rsid w:val="0069775A"/>
    <w:rsid w:val="006977FA"/>
    <w:rsid w:val="00697813"/>
    <w:rsid w:val="006A17EE"/>
    <w:rsid w:val="006A2BC0"/>
    <w:rsid w:val="006A3EE8"/>
    <w:rsid w:val="006A698A"/>
    <w:rsid w:val="006A72BF"/>
    <w:rsid w:val="006B02A9"/>
    <w:rsid w:val="006B03F2"/>
    <w:rsid w:val="006B130A"/>
    <w:rsid w:val="006B1F01"/>
    <w:rsid w:val="006B37DC"/>
    <w:rsid w:val="006B3A74"/>
    <w:rsid w:val="006B4F68"/>
    <w:rsid w:val="006B5864"/>
    <w:rsid w:val="006C0592"/>
    <w:rsid w:val="006C0636"/>
    <w:rsid w:val="006C0DF4"/>
    <w:rsid w:val="006C1A46"/>
    <w:rsid w:val="006C272E"/>
    <w:rsid w:val="006C31E3"/>
    <w:rsid w:val="006C5479"/>
    <w:rsid w:val="006C568C"/>
    <w:rsid w:val="006C6CAE"/>
    <w:rsid w:val="006D13B5"/>
    <w:rsid w:val="006D2905"/>
    <w:rsid w:val="006D3673"/>
    <w:rsid w:val="006D5709"/>
    <w:rsid w:val="006D5ADA"/>
    <w:rsid w:val="006D5E3F"/>
    <w:rsid w:val="006E0334"/>
    <w:rsid w:val="006E09BA"/>
    <w:rsid w:val="006E12FF"/>
    <w:rsid w:val="006E1704"/>
    <w:rsid w:val="006E1C57"/>
    <w:rsid w:val="006E3A57"/>
    <w:rsid w:val="006E607E"/>
    <w:rsid w:val="006E6B1F"/>
    <w:rsid w:val="006F1ABF"/>
    <w:rsid w:val="006F2C5D"/>
    <w:rsid w:val="006F3113"/>
    <w:rsid w:val="006F41FD"/>
    <w:rsid w:val="006F556C"/>
    <w:rsid w:val="006F68DF"/>
    <w:rsid w:val="0070009D"/>
    <w:rsid w:val="00700D6A"/>
    <w:rsid w:val="007026D7"/>
    <w:rsid w:val="00702AD8"/>
    <w:rsid w:val="00702B90"/>
    <w:rsid w:val="00704F05"/>
    <w:rsid w:val="00705CD4"/>
    <w:rsid w:val="00706264"/>
    <w:rsid w:val="00706C5D"/>
    <w:rsid w:val="0071076B"/>
    <w:rsid w:val="00713BA4"/>
    <w:rsid w:val="00714EF0"/>
    <w:rsid w:val="007162F8"/>
    <w:rsid w:val="0072084D"/>
    <w:rsid w:val="0072229C"/>
    <w:rsid w:val="0072390F"/>
    <w:rsid w:val="0072545D"/>
    <w:rsid w:val="00726600"/>
    <w:rsid w:val="007278FE"/>
    <w:rsid w:val="00727E25"/>
    <w:rsid w:val="00730114"/>
    <w:rsid w:val="007310AA"/>
    <w:rsid w:val="00731FE9"/>
    <w:rsid w:val="00732922"/>
    <w:rsid w:val="00733899"/>
    <w:rsid w:val="007339DE"/>
    <w:rsid w:val="00734D9D"/>
    <w:rsid w:val="0075162E"/>
    <w:rsid w:val="0075281D"/>
    <w:rsid w:val="00754034"/>
    <w:rsid w:val="0075434C"/>
    <w:rsid w:val="007547CB"/>
    <w:rsid w:val="00754C39"/>
    <w:rsid w:val="00756556"/>
    <w:rsid w:val="0076177E"/>
    <w:rsid w:val="007618C4"/>
    <w:rsid w:val="00765146"/>
    <w:rsid w:val="00767379"/>
    <w:rsid w:val="00767980"/>
    <w:rsid w:val="007703B2"/>
    <w:rsid w:val="00770B19"/>
    <w:rsid w:val="0077159E"/>
    <w:rsid w:val="00771B2E"/>
    <w:rsid w:val="00771EEC"/>
    <w:rsid w:val="007745E0"/>
    <w:rsid w:val="0077463F"/>
    <w:rsid w:val="007757D3"/>
    <w:rsid w:val="00777EC8"/>
    <w:rsid w:val="00780807"/>
    <w:rsid w:val="00781626"/>
    <w:rsid w:val="0078211E"/>
    <w:rsid w:val="00782302"/>
    <w:rsid w:val="007836EA"/>
    <w:rsid w:val="00784CDA"/>
    <w:rsid w:val="00787F40"/>
    <w:rsid w:val="007906C4"/>
    <w:rsid w:val="007911DC"/>
    <w:rsid w:val="00791D2F"/>
    <w:rsid w:val="00793ABA"/>
    <w:rsid w:val="007940EA"/>
    <w:rsid w:val="00794F49"/>
    <w:rsid w:val="007957CA"/>
    <w:rsid w:val="007967E8"/>
    <w:rsid w:val="007971C5"/>
    <w:rsid w:val="00797B76"/>
    <w:rsid w:val="00797ECD"/>
    <w:rsid w:val="007A03CF"/>
    <w:rsid w:val="007A0538"/>
    <w:rsid w:val="007A174E"/>
    <w:rsid w:val="007A2170"/>
    <w:rsid w:val="007A22BF"/>
    <w:rsid w:val="007A2620"/>
    <w:rsid w:val="007A3323"/>
    <w:rsid w:val="007B4C7D"/>
    <w:rsid w:val="007B5E71"/>
    <w:rsid w:val="007B72B8"/>
    <w:rsid w:val="007B7A58"/>
    <w:rsid w:val="007C0672"/>
    <w:rsid w:val="007C21B5"/>
    <w:rsid w:val="007C2573"/>
    <w:rsid w:val="007C4A77"/>
    <w:rsid w:val="007D034C"/>
    <w:rsid w:val="007D33BC"/>
    <w:rsid w:val="007D450E"/>
    <w:rsid w:val="007D549E"/>
    <w:rsid w:val="007E13E4"/>
    <w:rsid w:val="007E44A9"/>
    <w:rsid w:val="007E4BD2"/>
    <w:rsid w:val="007E5737"/>
    <w:rsid w:val="007E5E6C"/>
    <w:rsid w:val="007F0C72"/>
    <w:rsid w:val="007F1F39"/>
    <w:rsid w:val="007F27DA"/>
    <w:rsid w:val="007F3244"/>
    <w:rsid w:val="007F41C9"/>
    <w:rsid w:val="007F5BB9"/>
    <w:rsid w:val="00801393"/>
    <w:rsid w:val="00802F88"/>
    <w:rsid w:val="00803A51"/>
    <w:rsid w:val="00804A84"/>
    <w:rsid w:val="008077B4"/>
    <w:rsid w:val="008100DF"/>
    <w:rsid w:val="0081293E"/>
    <w:rsid w:val="00813543"/>
    <w:rsid w:val="00815465"/>
    <w:rsid w:val="00817E9A"/>
    <w:rsid w:val="00820078"/>
    <w:rsid w:val="008249C8"/>
    <w:rsid w:val="00825D63"/>
    <w:rsid w:val="008266E9"/>
    <w:rsid w:val="00826FAB"/>
    <w:rsid w:val="00827176"/>
    <w:rsid w:val="0082745E"/>
    <w:rsid w:val="008306BD"/>
    <w:rsid w:val="00831A80"/>
    <w:rsid w:val="00833743"/>
    <w:rsid w:val="008340A4"/>
    <w:rsid w:val="00834104"/>
    <w:rsid w:val="008364B6"/>
    <w:rsid w:val="008372B5"/>
    <w:rsid w:val="008408AD"/>
    <w:rsid w:val="008433C0"/>
    <w:rsid w:val="00843579"/>
    <w:rsid w:val="00844D54"/>
    <w:rsid w:val="00850F31"/>
    <w:rsid w:val="008511BD"/>
    <w:rsid w:val="00852191"/>
    <w:rsid w:val="00857B7E"/>
    <w:rsid w:val="00861250"/>
    <w:rsid w:val="00861510"/>
    <w:rsid w:val="0086219B"/>
    <w:rsid w:val="0086246B"/>
    <w:rsid w:val="00863990"/>
    <w:rsid w:val="00863D94"/>
    <w:rsid w:val="00865148"/>
    <w:rsid w:val="00865C7A"/>
    <w:rsid w:val="00865C99"/>
    <w:rsid w:val="0087029E"/>
    <w:rsid w:val="0087135F"/>
    <w:rsid w:val="0087194E"/>
    <w:rsid w:val="00872D94"/>
    <w:rsid w:val="00876724"/>
    <w:rsid w:val="00877B7B"/>
    <w:rsid w:val="00880364"/>
    <w:rsid w:val="00880C60"/>
    <w:rsid w:val="00882212"/>
    <w:rsid w:val="00883C66"/>
    <w:rsid w:val="0088566F"/>
    <w:rsid w:val="00890854"/>
    <w:rsid w:val="00890AED"/>
    <w:rsid w:val="00891592"/>
    <w:rsid w:val="008916AA"/>
    <w:rsid w:val="00891E9E"/>
    <w:rsid w:val="0089471B"/>
    <w:rsid w:val="0089514B"/>
    <w:rsid w:val="008A1F01"/>
    <w:rsid w:val="008A2F68"/>
    <w:rsid w:val="008A44DE"/>
    <w:rsid w:val="008A545C"/>
    <w:rsid w:val="008B0316"/>
    <w:rsid w:val="008B28BF"/>
    <w:rsid w:val="008B4FA6"/>
    <w:rsid w:val="008B5282"/>
    <w:rsid w:val="008B5A52"/>
    <w:rsid w:val="008B7C17"/>
    <w:rsid w:val="008C00D1"/>
    <w:rsid w:val="008C2D01"/>
    <w:rsid w:val="008C40E6"/>
    <w:rsid w:val="008C6A9A"/>
    <w:rsid w:val="008D0F7A"/>
    <w:rsid w:val="008D1586"/>
    <w:rsid w:val="008D3E61"/>
    <w:rsid w:val="008D68E4"/>
    <w:rsid w:val="008D69BB"/>
    <w:rsid w:val="008E01F9"/>
    <w:rsid w:val="008E0506"/>
    <w:rsid w:val="008E0CFF"/>
    <w:rsid w:val="008E3010"/>
    <w:rsid w:val="008E5D6B"/>
    <w:rsid w:val="008E6940"/>
    <w:rsid w:val="008E72DC"/>
    <w:rsid w:val="008E76F0"/>
    <w:rsid w:val="008F0FA5"/>
    <w:rsid w:val="008F15FE"/>
    <w:rsid w:val="008F2D29"/>
    <w:rsid w:val="008F3457"/>
    <w:rsid w:val="008F48D9"/>
    <w:rsid w:val="008F4F79"/>
    <w:rsid w:val="008F5187"/>
    <w:rsid w:val="008F60D8"/>
    <w:rsid w:val="008F727F"/>
    <w:rsid w:val="0090072D"/>
    <w:rsid w:val="00901BD3"/>
    <w:rsid w:val="00902727"/>
    <w:rsid w:val="009028F5"/>
    <w:rsid w:val="00902AE1"/>
    <w:rsid w:val="00902B2F"/>
    <w:rsid w:val="0090312B"/>
    <w:rsid w:val="00903369"/>
    <w:rsid w:val="009058E2"/>
    <w:rsid w:val="00906581"/>
    <w:rsid w:val="00911408"/>
    <w:rsid w:val="009129BF"/>
    <w:rsid w:val="00914821"/>
    <w:rsid w:val="0091736D"/>
    <w:rsid w:val="009177F8"/>
    <w:rsid w:val="009204A0"/>
    <w:rsid w:val="0092155B"/>
    <w:rsid w:val="0092159B"/>
    <w:rsid w:val="00921FD1"/>
    <w:rsid w:val="00922EF9"/>
    <w:rsid w:val="0093037A"/>
    <w:rsid w:val="0093519E"/>
    <w:rsid w:val="009357E5"/>
    <w:rsid w:val="00940068"/>
    <w:rsid w:val="0094154D"/>
    <w:rsid w:val="0094430F"/>
    <w:rsid w:val="009506D5"/>
    <w:rsid w:val="0095155F"/>
    <w:rsid w:val="00954429"/>
    <w:rsid w:val="009557B3"/>
    <w:rsid w:val="009563CE"/>
    <w:rsid w:val="00957049"/>
    <w:rsid w:val="009652EF"/>
    <w:rsid w:val="009660EB"/>
    <w:rsid w:val="00975A68"/>
    <w:rsid w:val="00975DD1"/>
    <w:rsid w:val="00976328"/>
    <w:rsid w:val="0097680D"/>
    <w:rsid w:val="00982438"/>
    <w:rsid w:val="009831CF"/>
    <w:rsid w:val="0098404C"/>
    <w:rsid w:val="00984E4F"/>
    <w:rsid w:val="00985283"/>
    <w:rsid w:val="00986077"/>
    <w:rsid w:val="00990C0C"/>
    <w:rsid w:val="0099194D"/>
    <w:rsid w:val="00995992"/>
    <w:rsid w:val="00996C65"/>
    <w:rsid w:val="009A03E5"/>
    <w:rsid w:val="009A0F3B"/>
    <w:rsid w:val="009A13D7"/>
    <w:rsid w:val="009A1BB4"/>
    <w:rsid w:val="009A1DF0"/>
    <w:rsid w:val="009A2628"/>
    <w:rsid w:val="009A2851"/>
    <w:rsid w:val="009A3200"/>
    <w:rsid w:val="009A39F4"/>
    <w:rsid w:val="009A3B00"/>
    <w:rsid w:val="009A44A8"/>
    <w:rsid w:val="009A4740"/>
    <w:rsid w:val="009B0535"/>
    <w:rsid w:val="009B0897"/>
    <w:rsid w:val="009B10D9"/>
    <w:rsid w:val="009B1D0E"/>
    <w:rsid w:val="009B4A78"/>
    <w:rsid w:val="009B4E18"/>
    <w:rsid w:val="009B5A45"/>
    <w:rsid w:val="009B62CA"/>
    <w:rsid w:val="009B6901"/>
    <w:rsid w:val="009B7BD9"/>
    <w:rsid w:val="009C2781"/>
    <w:rsid w:val="009C76E0"/>
    <w:rsid w:val="009C7DD5"/>
    <w:rsid w:val="009D4491"/>
    <w:rsid w:val="009D4B55"/>
    <w:rsid w:val="009D4C6F"/>
    <w:rsid w:val="009D5145"/>
    <w:rsid w:val="009D57ED"/>
    <w:rsid w:val="009D5AAD"/>
    <w:rsid w:val="009E0B1C"/>
    <w:rsid w:val="009E141D"/>
    <w:rsid w:val="009E14E2"/>
    <w:rsid w:val="009E1750"/>
    <w:rsid w:val="009E227D"/>
    <w:rsid w:val="009E389E"/>
    <w:rsid w:val="009E5019"/>
    <w:rsid w:val="009E6686"/>
    <w:rsid w:val="009E71E8"/>
    <w:rsid w:val="009F0218"/>
    <w:rsid w:val="009F0EB8"/>
    <w:rsid w:val="009F5F17"/>
    <w:rsid w:val="009F77E5"/>
    <w:rsid w:val="00A00704"/>
    <w:rsid w:val="00A00C25"/>
    <w:rsid w:val="00A02D37"/>
    <w:rsid w:val="00A03AF3"/>
    <w:rsid w:val="00A04F1B"/>
    <w:rsid w:val="00A0501B"/>
    <w:rsid w:val="00A05211"/>
    <w:rsid w:val="00A06393"/>
    <w:rsid w:val="00A069F4"/>
    <w:rsid w:val="00A0738F"/>
    <w:rsid w:val="00A12690"/>
    <w:rsid w:val="00A129B3"/>
    <w:rsid w:val="00A144FF"/>
    <w:rsid w:val="00A14947"/>
    <w:rsid w:val="00A14B6D"/>
    <w:rsid w:val="00A167B7"/>
    <w:rsid w:val="00A22115"/>
    <w:rsid w:val="00A24387"/>
    <w:rsid w:val="00A3099F"/>
    <w:rsid w:val="00A31F74"/>
    <w:rsid w:val="00A32A83"/>
    <w:rsid w:val="00A342E4"/>
    <w:rsid w:val="00A368DB"/>
    <w:rsid w:val="00A372B0"/>
    <w:rsid w:val="00A37B12"/>
    <w:rsid w:val="00A40E6A"/>
    <w:rsid w:val="00A423AA"/>
    <w:rsid w:val="00A443BA"/>
    <w:rsid w:val="00A456B8"/>
    <w:rsid w:val="00A46043"/>
    <w:rsid w:val="00A46BC8"/>
    <w:rsid w:val="00A505B6"/>
    <w:rsid w:val="00A52090"/>
    <w:rsid w:val="00A52540"/>
    <w:rsid w:val="00A52975"/>
    <w:rsid w:val="00A53EC6"/>
    <w:rsid w:val="00A53F48"/>
    <w:rsid w:val="00A55149"/>
    <w:rsid w:val="00A55258"/>
    <w:rsid w:val="00A55C0F"/>
    <w:rsid w:val="00A563DB"/>
    <w:rsid w:val="00A61ED4"/>
    <w:rsid w:val="00A62A0F"/>
    <w:rsid w:val="00A662D9"/>
    <w:rsid w:val="00A66971"/>
    <w:rsid w:val="00A66EEB"/>
    <w:rsid w:val="00A67279"/>
    <w:rsid w:val="00A70126"/>
    <w:rsid w:val="00A711BA"/>
    <w:rsid w:val="00A736F4"/>
    <w:rsid w:val="00A741C9"/>
    <w:rsid w:val="00A76AF5"/>
    <w:rsid w:val="00A778D1"/>
    <w:rsid w:val="00A77B08"/>
    <w:rsid w:val="00A837EC"/>
    <w:rsid w:val="00A861C7"/>
    <w:rsid w:val="00A8713F"/>
    <w:rsid w:val="00A90BA1"/>
    <w:rsid w:val="00A92B68"/>
    <w:rsid w:val="00A94A0B"/>
    <w:rsid w:val="00A97A9A"/>
    <w:rsid w:val="00AA0671"/>
    <w:rsid w:val="00AA2531"/>
    <w:rsid w:val="00AA2739"/>
    <w:rsid w:val="00AA3FBA"/>
    <w:rsid w:val="00AA4184"/>
    <w:rsid w:val="00AA53C9"/>
    <w:rsid w:val="00AB1E09"/>
    <w:rsid w:val="00AB4426"/>
    <w:rsid w:val="00AB5330"/>
    <w:rsid w:val="00AB7747"/>
    <w:rsid w:val="00AB7954"/>
    <w:rsid w:val="00AC14CE"/>
    <w:rsid w:val="00AC1B7F"/>
    <w:rsid w:val="00AC26C7"/>
    <w:rsid w:val="00AC2A56"/>
    <w:rsid w:val="00AC339D"/>
    <w:rsid w:val="00AC544F"/>
    <w:rsid w:val="00AC559D"/>
    <w:rsid w:val="00AD045C"/>
    <w:rsid w:val="00AD055E"/>
    <w:rsid w:val="00AD180F"/>
    <w:rsid w:val="00AD47A7"/>
    <w:rsid w:val="00AD7444"/>
    <w:rsid w:val="00AE0339"/>
    <w:rsid w:val="00AE2930"/>
    <w:rsid w:val="00AF0CBF"/>
    <w:rsid w:val="00AF257F"/>
    <w:rsid w:val="00AF2657"/>
    <w:rsid w:val="00AF2E04"/>
    <w:rsid w:val="00AF33CF"/>
    <w:rsid w:val="00AF350B"/>
    <w:rsid w:val="00AF4D50"/>
    <w:rsid w:val="00AF5E6A"/>
    <w:rsid w:val="00AF611C"/>
    <w:rsid w:val="00AF6179"/>
    <w:rsid w:val="00B015CF"/>
    <w:rsid w:val="00B024DD"/>
    <w:rsid w:val="00B02DF9"/>
    <w:rsid w:val="00B0320E"/>
    <w:rsid w:val="00B04494"/>
    <w:rsid w:val="00B04C47"/>
    <w:rsid w:val="00B06BA7"/>
    <w:rsid w:val="00B06BF2"/>
    <w:rsid w:val="00B07B02"/>
    <w:rsid w:val="00B10D9B"/>
    <w:rsid w:val="00B1295A"/>
    <w:rsid w:val="00B14A11"/>
    <w:rsid w:val="00B15792"/>
    <w:rsid w:val="00B20A45"/>
    <w:rsid w:val="00B22A47"/>
    <w:rsid w:val="00B22C5C"/>
    <w:rsid w:val="00B23C13"/>
    <w:rsid w:val="00B249A4"/>
    <w:rsid w:val="00B24F30"/>
    <w:rsid w:val="00B2670E"/>
    <w:rsid w:val="00B2713A"/>
    <w:rsid w:val="00B27874"/>
    <w:rsid w:val="00B303F0"/>
    <w:rsid w:val="00B31A72"/>
    <w:rsid w:val="00B31ABF"/>
    <w:rsid w:val="00B339AC"/>
    <w:rsid w:val="00B33B2A"/>
    <w:rsid w:val="00B33BE3"/>
    <w:rsid w:val="00B353CF"/>
    <w:rsid w:val="00B366F4"/>
    <w:rsid w:val="00B403C2"/>
    <w:rsid w:val="00B40A1B"/>
    <w:rsid w:val="00B410DF"/>
    <w:rsid w:val="00B41142"/>
    <w:rsid w:val="00B41F6B"/>
    <w:rsid w:val="00B4366D"/>
    <w:rsid w:val="00B43FC4"/>
    <w:rsid w:val="00B441F0"/>
    <w:rsid w:val="00B45D38"/>
    <w:rsid w:val="00B45D3F"/>
    <w:rsid w:val="00B46F58"/>
    <w:rsid w:val="00B47577"/>
    <w:rsid w:val="00B51EB9"/>
    <w:rsid w:val="00B53B5D"/>
    <w:rsid w:val="00B540D4"/>
    <w:rsid w:val="00B54A0C"/>
    <w:rsid w:val="00B55A03"/>
    <w:rsid w:val="00B57B82"/>
    <w:rsid w:val="00B6055E"/>
    <w:rsid w:val="00B6109A"/>
    <w:rsid w:val="00B620A4"/>
    <w:rsid w:val="00B6317D"/>
    <w:rsid w:val="00B6394B"/>
    <w:rsid w:val="00B64B3A"/>
    <w:rsid w:val="00B66761"/>
    <w:rsid w:val="00B66B51"/>
    <w:rsid w:val="00B670B7"/>
    <w:rsid w:val="00B704DB"/>
    <w:rsid w:val="00B715C2"/>
    <w:rsid w:val="00B71CDE"/>
    <w:rsid w:val="00B74EC9"/>
    <w:rsid w:val="00B75109"/>
    <w:rsid w:val="00B7723F"/>
    <w:rsid w:val="00B80534"/>
    <w:rsid w:val="00B80AFF"/>
    <w:rsid w:val="00B83AF4"/>
    <w:rsid w:val="00B8433C"/>
    <w:rsid w:val="00B849BE"/>
    <w:rsid w:val="00B863E6"/>
    <w:rsid w:val="00B86A23"/>
    <w:rsid w:val="00B87491"/>
    <w:rsid w:val="00B93F57"/>
    <w:rsid w:val="00B960E1"/>
    <w:rsid w:val="00B967A4"/>
    <w:rsid w:val="00B96EFD"/>
    <w:rsid w:val="00B976A4"/>
    <w:rsid w:val="00BA1EA2"/>
    <w:rsid w:val="00BA29E9"/>
    <w:rsid w:val="00BA45E2"/>
    <w:rsid w:val="00BA7142"/>
    <w:rsid w:val="00BA783A"/>
    <w:rsid w:val="00BA78A9"/>
    <w:rsid w:val="00BB1ABE"/>
    <w:rsid w:val="00BB237C"/>
    <w:rsid w:val="00BB30FC"/>
    <w:rsid w:val="00BB41A3"/>
    <w:rsid w:val="00BB7AF0"/>
    <w:rsid w:val="00BC018A"/>
    <w:rsid w:val="00BC32DC"/>
    <w:rsid w:val="00BC35B6"/>
    <w:rsid w:val="00BD03B3"/>
    <w:rsid w:val="00BD1B51"/>
    <w:rsid w:val="00BD438D"/>
    <w:rsid w:val="00BD4596"/>
    <w:rsid w:val="00BD4C60"/>
    <w:rsid w:val="00BD5DAD"/>
    <w:rsid w:val="00BD7051"/>
    <w:rsid w:val="00BE1405"/>
    <w:rsid w:val="00BE20EB"/>
    <w:rsid w:val="00BE312D"/>
    <w:rsid w:val="00BE7E29"/>
    <w:rsid w:val="00BF0166"/>
    <w:rsid w:val="00BF1C20"/>
    <w:rsid w:val="00BF72AC"/>
    <w:rsid w:val="00C00122"/>
    <w:rsid w:val="00C00BD6"/>
    <w:rsid w:val="00C028B1"/>
    <w:rsid w:val="00C04083"/>
    <w:rsid w:val="00C04745"/>
    <w:rsid w:val="00C0761D"/>
    <w:rsid w:val="00C07CDA"/>
    <w:rsid w:val="00C10578"/>
    <w:rsid w:val="00C109A8"/>
    <w:rsid w:val="00C12780"/>
    <w:rsid w:val="00C135BC"/>
    <w:rsid w:val="00C143BB"/>
    <w:rsid w:val="00C14839"/>
    <w:rsid w:val="00C15C95"/>
    <w:rsid w:val="00C17009"/>
    <w:rsid w:val="00C17C56"/>
    <w:rsid w:val="00C17FCC"/>
    <w:rsid w:val="00C20FBF"/>
    <w:rsid w:val="00C21483"/>
    <w:rsid w:val="00C21A48"/>
    <w:rsid w:val="00C21E02"/>
    <w:rsid w:val="00C23C18"/>
    <w:rsid w:val="00C24182"/>
    <w:rsid w:val="00C25162"/>
    <w:rsid w:val="00C2596A"/>
    <w:rsid w:val="00C27537"/>
    <w:rsid w:val="00C31362"/>
    <w:rsid w:val="00C31A3D"/>
    <w:rsid w:val="00C328FE"/>
    <w:rsid w:val="00C33507"/>
    <w:rsid w:val="00C338A7"/>
    <w:rsid w:val="00C35FE4"/>
    <w:rsid w:val="00C36E1C"/>
    <w:rsid w:val="00C40891"/>
    <w:rsid w:val="00C4409D"/>
    <w:rsid w:val="00C44E72"/>
    <w:rsid w:val="00C45A06"/>
    <w:rsid w:val="00C470C3"/>
    <w:rsid w:val="00C47E5B"/>
    <w:rsid w:val="00C47F53"/>
    <w:rsid w:val="00C51D45"/>
    <w:rsid w:val="00C5342B"/>
    <w:rsid w:val="00C5620D"/>
    <w:rsid w:val="00C57C72"/>
    <w:rsid w:val="00C6000A"/>
    <w:rsid w:val="00C613D0"/>
    <w:rsid w:val="00C614AA"/>
    <w:rsid w:val="00C61E4B"/>
    <w:rsid w:val="00C632F3"/>
    <w:rsid w:val="00C63A3C"/>
    <w:rsid w:val="00C644E7"/>
    <w:rsid w:val="00C64BFF"/>
    <w:rsid w:val="00C659FB"/>
    <w:rsid w:val="00C67EF0"/>
    <w:rsid w:val="00C704E9"/>
    <w:rsid w:val="00C729F9"/>
    <w:rsid w:val="00C763C9"/>
    <w:rsid w:val="00C80057"/>
    <w:rsid w:val="00C82232"/>
    <w:rsid w:val="00C82913"/>
    <w:rsid w:val="00C86B91"/>
    <w:rsid w:val="00C9179A"/>
    <w:rsid w:val="00C92343"/>
    <w:rsid w:val="00C93001"/>
    <w:rsid w:val="00C94332"/>
    <w:rsid w:val="00C94D94"/>
    <w:rsid w:val="00C953F6"/>
    <w:rsid w:val="00C95AAE"/>
    <w:rsid w:val="00C972B1"/>
    <w:rsid w:val="00C97C8B"/>
    <w:rsid w:val="00CA0426"/>
    <w:rsid w:val="00CA1881"/>
    <w:rsid w:val="00CA26AA"/>
    <w:rsid w:val="00CA2CCE"/>
    <w:rsid w:val="00CA2E8B"/>
    <w:rsid w:val="00CA43FD"/>
    <w:rsid w:val="00CA54C7"/>
    <w:rsid w:val="00CA7E84"/>
    <w:rsid w:val="00CA7EF8"/>
    <w:rsid w:val="00CB0E95"/>
    <w:rsid w:val="00CB11AE"/>
    <w:rsid w:val="00CB1AB6"/>
    <w:rsid w:val="00CB1C7D"/>
    <w:rsid w:val="00CB23FD"/>
    <w:rsid w:val="00CB548E"/>
    <w:rsid w:val="00CC1A80"/>
    <w:rsid w:val="00CC2D9F"/>
    <w:rsid w:val="00CC3A7F"/>
    <w:rsid w:val="00CC489B"/>
    <w:rsid w:val="00CC5390"/>
    <w:rsid w:val="00CD001C"/>
    <w:rsid w:val="00CD2BCD"/>
    <w:rsid w:val="00CD3A4C"/>
    <w:rsid w:val="00CD46AD"/>
    <w:rsid w:val="00CD6C9E"/>
    <w:rsid w:val="00CD7769"/>
    <w:rsid w:val="00CE10E9"/>
    <w:rsid w:val="00CE263B"/>
    <w:rsid w:val="00CE2910"/>
    <w:rsid w:val="00CE2A10"/>
    <w:rsid w:val="00CE5212"/>
    <w:rsid w:val="00CE531C"/>
    <w:rsid w:val="00CE5393"/>
    <w:rsid w:val="00CE55DF"/>
    <w:rsid w:val="00CE6BAB"/>
    <w:rsid w:val="00CF230C"/>
    <w:rsid w:val="00CF2486"/>
    <w:rsid w:val="00CF36BE"/>
    <w:rsid w:val="00CF6000"/>
    <w:rsid w:val="00CF692E"/>
    <w:rsid w:val="00D003F3"/>
    <w:rsid w:val="00D0364F"/>
    <w:rsid w:val="00D037BB"/>
    <w:rsid w:val="00D04DDC"/>
    <w:rsid w:val="00D05BBC"/>
    <w:rsid w:val="00D05D1B"/>
    <w:rsid w:val="00D06834"/>
    <w:rsid w:val="00D07D80"/>
    <w:rsid w:val="00D07E5B"/>
    <w:rsid w:val="00D10524"/>
    <w:rsid w:val="00D110C9"/>
    <w:rsid w:val="00D1222E"/>
    <w:rsid w:val="00D1622B"/>
    <w:rsid w:val="00D164B5"/>
    <w:rsid w:val="00D16CDC"/>
    <w:rsid w:val="00D17942"/>
    <w:rsid w:val="00D202ED"/>
    <w:rsid w:val="00D259A9"/>
    <w:rsid w:val="00D269F6"/>
    <w:rsid w:val="00D308ED"/>
    <w:rsid w:val="00D30C90"/>
    <w:rsid w:val="00D33519"/>
    <w:rsid w:val="00D36D86"/>
    <w:rsid w:val="00D37D3A"/>
    <w:rsid w:val="00D40E01"/>
    <w:rsid w:val="00D428AA"/>
    <w:rsid w:val="00D433C4"/>
    <w:rsid w:val="00D43D47"/>
    <w:rsid w:val="00D4793A"/>
    <w:rsid w:val="00D50A34"/>
    <w:rsid w:val="00D51609"/>
    <w:rsid w:val="00D53EFA"/>
    <w:rsid w:val="00D563AE"/>
    <w:rsid w:val="00D56DA4"/>
    <w:rsid w:val="00D600A4"/>
    <w:rsid w:val="00D602C8"/>
    <w:rsid w:val="00D60AF4"/>
    <w:rsid w:val="00D61272"/>
    <w:rsid w:val="00D64F78"/>
    <w:rsid w:val="00D66BFD"/>
    <w:rsid w:val="00D66CCE"/>
    <w:rsid w:val="00D7062F"/>
    <w:rsid w:val="00D709E1"/>
    <w:rsid w:val="00D723E5"/>
    <w:rsid w:val="00D72DC6"/>
    <w:rsid w:val="00D7304E"/>
    <w:rsid w:val="00D73AE8"/>
    <w:rsid w:val="00D74BF2"/>
    <w:rsid w:val="00D75734"/>
    <w:rsid w:val="00D81A7E"/>
    <w:rsid w:val="00D83EC3"/>
    <w:rsid w:val="00D846A4"/>
    <w:rsid w:val="00D84ED6"/>
    <w:rsid w:val="00D85D21"/>
    <w:rsid w:val="00D8746A"/>
    <w:rsid w:val="00D90781"/>
    <w:rsid w:val="00D90A20"/>
    <w:rsid w:val="00D910D4"/>
    <w:rsid w:val="00D917DE"/>
    <w:rsid w:val="00D91F14"/>
    <w:rsid w:val="00D93A9B"/>
    <w:rsid w:val="00D94A7C"/>
    <w:rsid w:val="00D95896"/>
    <w:rsid w:val="00D978C1"/>
    <w:rsid w:val="00D97DDD"/>
    <w:rsid w:val="00DA62F0"/>
    <w:rsid w:val="00DA63B1"/>
    <w:rsid w:val="00DA6EB5"/>
    <w:rsid w:val="00DA7090"/>
    <w:rsid w:val="00DB2983"/>
    <w:rsid w:val="00DB450C"/>
    <w:rsid w:val="00DB6C00"/>
    <w:rsid w:val="00DC08BC"/>
    <w:rsid w:val="00DC1257"/>
    <w:rsid w:val="00DC2A2F"/>
    <w:rsid w:val="00DC3DC0"/>
    <w:rsid w:val="00DC437C"/>
    <w:rsid w:val="00DC4493"/>
    <w:rsid w:val="00DC50CB"/>
    <w:rsid w:val="00DC5B2B"/>
    <w:rsid w:val="00DC5F7B"/>
    <w:rsid w:val="00DC670E"/>
    <w:rsid w:val="00DD318D"/>
    <w:rsid w:val="00DD4158"/>
    <w:rsid w:val="00DD5575"/>
    <w:rsid w:val="00DD5F7F"/>
    <w:rsid w:val="00DE0110"/>
    <w:rsid w:val="00DE0F5E"/>
    <w:rsid w:val="00DE0F6C"/>
    <w:rsid w:val="00DE166B"/>
    <w:rsid w:val="00DE27E2"/>
    <w:rsid w:val="00DE30ED"/>
    <w:rsid w:val="00DE312E"/>
    <w:rsid w:val="00DF2E12"/>
    <w:rsid w:val="00DF3BA6"/>
    <w:rsid w:val="00DF3F29"/>
    <w:rsid w:val="00DF514A"/>
    <w:rsid w:val="00DF6690"/>
    <w:rsid w:val="00DF6804"/>
    <w:rsid w:val="00DF6DE4"/>
    <w:rsid w:val="00DF6EF2"/>
    <w:rsid w:val="00E0358D"/>
    <w:rsid w:val="00E040CB"/>
    <w:rsid w:val="00E04323"/>
    <w:rsid w:val="00E05599"/>
    <w:rsid w:val="00E070A2"/>
    <w:rsid w:val="00E10737"/>
    <w:rsid w:val="00E10AE8"/>
    <w:rsid w:val="00E13625"/>
    <w:rsid w:val="00E14286"/>
    <w:rsid w:val="00E15A60"/>
    <w:rsid w:val="00E15F9D"/>
    <w:rsid w:val="00E2656A"/>
    <w:rsid w:val="00E277CE"/>
    <w:rsid w:val="00E3090D"/>
    <w:rsid w:val="00E32123"/>
    <w:rsid w:val="00E35A47"/>
    <w:rsid w:val="00E35C2A"/>
    <w:rsid w:val="00E3632E"/>
    <w:rsid w:val="00E3697E"/>
    <w:rsid w:val="00E37C1E"/>
    <w:rsid w:val="00E412D0"/>
    <w:rsid w:val="00E443E0"/>
    <w:rsid w:val="00E4625F"/>
    <w:rsid w:val="00E509C6"/>
    <w:rsid w:val="00E51100"/>
    <w:rsid w:val="00E5354E"/>
    <w:rsid w:val="00E5583B"/>
    <w:rsid w:val="00E56322"/>
    <w:rsid w:val="00E57042"/>
    <w:rsid w:val="00E60221"/>
    <w:rsid w:val="00E60982"/>
    <w:rsid w:val="00E62C62"/>
    <w:rsid w:val="00E62DA7"/>
    <w:rsid w:val="00E63576"/>
    <w:rsid w:val="00E6528D"/>
    <w:rsid w:val="00E654C1"/>
    <w:rsid w:val="00E65522"/>
    <w:rsid w:val="00E65D97"/>
    <w:rsid w:val="00E72A5A"/>
    <w:rsid w:val="00E73354"/>
    <w:rsid w:val="00E75663"/>
    <w:rsid w:val="00E77C3B"/>
    <w:rsid w:val="00E80086"/>
    <w:rsid w:val="00E81119"/>
    <w:rsid w:val="00E82B4A"/>
    <w:rsid w:val="00E83912"/>
    <w:rsid w:val="00E842AB"/>
    <w:rsid w:val="00E9242D"/>
    <w:rsid w:val="00E9321A"/>
    <w:rsid w:val="00EB14C5"/>
    <w:rsid w:val="00EB1688"/>
    <w:rsid w:val="00EB19EA"/>
    <w:rsid w:val="00EB19FD"/>
    <w:rsid w:val="00EB2365"/>
    <w:rsid w:val="00EB2F9E"/>
    <w:rsid w:val="00EB5255"/>
    <w:rsid w:val="00EB5C47"/>
    <w:rsid w:val="00EB67B3"/>
    <w:rsid w:val="00EC0E4D"/>
    <w:rsid w:val="00EC1E78"/>
    <w:rsid w:val="00EC3733"/>
    <w:rsid w:val="00EC4AB2"/>
    <w:rsid w:val="00EC5431"/>
    <w:rsid w:val="00EC69A5"/>
    <w:rsid w:val="00ED0639"/>
    <w:rsid w:val="00ED09D8"/>
    <w:rsid w:val="00ED1DE8"/>
    <w:rsid w:val="00ED5E99"/>
    <w:rsid w:val="00EE5910"/>
    <w:rsid w:val="00EF2F19"/>
    <w:rsid w:val="00EF4755"/>
    <w:rsid w:val="00EF4B07"/>
    <w:rsid w:val="00EF58A1"/>
    <w:rsid w:val="00EF7135"/>
    <w:rsid w:val="00EF7334"/>
    <w:rsid w:val="00EF7DCA"/>
    <w:rsid w:val="00F00ACF"/>
    <w:rsid w:val="00F00FFD"/>
    <w:rsid w:val="00F02773"/>
    <w:rsid w:val="00F027DB"/>
    <w:rsid w:val="00F0310B"/>
    <w:rsid w:val="00F034F3"/>
    <w:rsid w:val="00F03689"/>
    <w:rsid w:val="00F058A4"/>
    <w:rsid w:val="00F07F00"/>
    <w:rsid w:val="00F11D95"/>
    <w:rsid w:val="00F13723"/>
    <w:rsid w:val="00F13E54"/>
    <w:rsid w:val="00F147EC"/>
    <w:rsid w:val="00F14A7A"/>
    <w:rsid w:val="00F14B89"/>
    <w:rsid w:val="00F157DC"/>
    <w:rsid w:val="00F16BC0"/>
    <w:rsid w:val="00F17C47"/>
    <w:rsid w:val="00F203B9"/>
    <w:rsid w:val="00F205C4"/>
    <w:rsid w:val="00F21945"/>
    <w:rsid w:val="00F22985"/>
    <w:rsid w:val="00F2302D"/>
    <w:rsid w:val="00F25C48"/>
    <w:rsid w:val="00F269CF"/>
    <w:rsid w:val="00F3259E"/>
    <w:rsid w:val="00F3383E"/>
    <w:rsid w:val="00F35832"/>
    <w:rsid w:val="00F36880"/>
    <w:rsid w:val="00F368C5"/>
    <w:rsid w:val="00F41FF8"/>
    <w:rsid w:val="00F448BD"/>
    <w:rsid w:val="00F4613A"/>
    <w:rsid w:val="00F465A7"/>
    <w:rsid w:val="00F471A5"/>
    <w:rsid w:val="00F47EC2"/>
    <w:rsid w:val="00F50B7C"/>
    <w:rsid w:val="00F52056"/>
    <w:rsid w:val="00F52526"/>
    <w:rsid w:val="00F545D5"/>
    <w:rsid w:val="00F550E6"/>
    <w:rsid w:val="00F601A9"/>
    <w:rsid w:val="00F619EA"/>
    <w:rsid w:val="00F67E91"/>
    <w:rsid w:val="00F725B9"/>
    <w:rsid w:val="00F73B1C"/>
    <w:rsid w:val="00F74345"/>
    <w:rsid w:val="00F751BC"/>
    <w:rsid w:val="00F75CB5"/>
    <w:rsid w:val="00F774C2"/>
    <w:rsid w:val="00F775AA"/>
    <w:rsid w:val="00F77FF7"/>
    <w:rsid w:val="00F803B7"/>
    <w:rsid w:val="00F80A0A"/>
    <w:rsid w:val="00F82B19"/>
    <w:rsid w:val="00F83A9A"/>
    <w:rsid w:val="00F843FD"/>
    <w:rsid w:val="00F87313"/>
    <w:rsid w:val="00F9212D"/>
    <w:rsid w:val="00F941B8"/>
    <w:rsid w:val="00F965DA"/>
    <w:rsid w:val="00F96EB4"/>
    <w:rsid w:val="00F96F96"/>
    <w:rsid w:val="00F97ACF"/>
    <w:rsid w:val="00FA1862"/>
    <w:rsid w:val="00FA406A"/>
    <w:rsid w:val="00FA7052"/>
    <w:rsid w:val="00FA7713"/>
    <w:rsid w:val="00FA7F4E"/>
    <w:rsid w:val="00FB07BD"/>
    <w:rsid w:val="00FB2FF2"/>
    <w:rsid w:val="00FB3D0F"/>
    <w:rsid w:val="00FB503A"/>
    <w:rsid w:val="00FB516C"/>
    <w:rsid w:val="00FB57D8"/>
    <w:rsid w:val="00FC07E0"/>
    <w:rsid w:val="00FC273F"/>
    <w:rsid w:val="00FC2CD2"/>
    <w:rsid w:val="00FC6E04"/>
    <w:rsid w:val="00FC7B75"/>
    <w:rsid w:val="00FD0236"/>
    <w:rsid w:val="00FD18F4"/>
    <w:rsid w:val="00FD418C"/>
    <w:rsid w:val="00FD41C7"/>
    <w:rsid w:val="00FD54DB"/>
    <w:rsid w:val="00FD619F"/>
    <w:rsid w:val="00FE38DC"/>
    <w:rsid w:val="00FE5D7A"/>
    <w:rsid w:val="00FE679F"/>
    <w:rsid w:val="00FF1B6B"/>
    <w:rsid w:val="00FF358A"/>
    <w:rsid w:val="00FF442C"/>
    <w:rsid w:val="00FF64B1"/>
    <w:rsid w:val="00FF64C6"/>
    <w:rsid w:val="01290F7E"/>
    <w:rsid w:val="01397954"/>
    <w:rsid w:val="015D1E09"/>
    <w:rsid w:val="01C729ED"/>
    <w:rsid w:val="02400311"/>
    <w:rsid w:val="02697903"/>
    <w:rsid w:val="02AC7DD1"/>
    <w:rsid w:val="02F96569"/>
    <w:rsid w:val="02FF25F2"/>
    <w:rsid w:val="0311688E"/>
    <w:rsid w:val="032D0FD4"/>
    <w:rsid w:val="03BB22B5"/>
    <w:rsid w:val="03C93D06"/>
    <w:rsid w:val="03D47DBD"/>
    <w:rsid w:val="03EA7B21"/>
    <w:rsid w:val="048B02F7"/>
    <w:rsid w:val="049727D9"/>
    <w:rsid w:val="04F577CF"/>
    <w:rsid w:val="05254501"/>
    <w:rsid w:val="05B44CC5"/>
    <w:rsid w:val="05F83EAE"/>
    <w:rsid w:val="063E7D85"/>
    <w:rsid w:val="07293586"/>
    <w:rsid w:val="07295285"/>
    <w:rsid w:val="07563D4D"/>
    <w:rsid w:val="07636392"/>
    <w:rsid w:val="07770C56"/>
    <w:rsid w:val="08067E9C"/>
    <w:rsid w:val="083008C1"/>
    <w:rsid w:val="08A35E0C"/>
    <w:rsid w:val="08F91374"/>
    <w:rsid w:val="092217DD"/>
    <w:rsid w:val="093A7294"/>
    <w:rsid w:val="0A1276D6"/>
    <w:rsid w:val="0A263993"/>
    <w:rsid w:val="0A2D3AC2"/>
    <w:rsid w:val="0A5C0B18"/>
    <w:rsid w:val="0A620204"/>
    <w:rsid w:val="0AA755DF"/>
    <w:rsid w:val="0ABA1880"/>
    <w:rsid w:val="0B120D44"/>
    <w:rsid w:val="0B8E44AA"/>
    <w:rsid w:val="0BD27BF6"/>
    <w:rsid w:val="0BE2503C"/>
    <w:rsid w:val="0C3B3C7D"/>
    <w:rsid w:val="0C4C6BEC"/>
    <w:rsid w:val="0CAB2EAE"/>
    <w:rsid w:val="0D621C7D"/>
    <w:rsid w:val="0D9B6E79"/>
    <w:rsid w:val="0DB84B94"/>
    <w:rsid w:val="0E0A25EB"/>
    <w:rsid w:val="0E4C00BB"/>
    <w:rsid w:val="0E6008AC"/>
    <w:rsid w:val="0E6712E6"/>
    <w:rsid w:val="0E73034D"/>
    <w:rsid w:val="0F13775A"/>
    <w:rsid w:val="0F5F45FE"/>
    <w:rsid w:val="0F745F6A"/>
    <w:rsid w:val="0F9A112B"/>
    <w:rsid w:val="0FDD4C24"/>
    <w:rsid w:val="10393FB7"/>
    <w:rsid w:val="106D2F64"/>
    <w:rsid w:val="10B63710"/>
    <w:rsid w:val="10D729B9"/>
    <w:rsid w:val="10E37E24"/>
    <w:rsid w:val="10F10820"/>
    <w:rsid w:val="111C2F7A"/>
    <w:rsid w:val="113B0990"/>
    <w:rsid w:val="11501EBF"/>
    <w:rsid w:val="11665CA1"/>
    <w:rsid w:val="11D150DC"/>
    <w:rsid w:val="12CA4DCB"/>
    <w:rsid w:val="135D500C"/>
    <w:rsid w:val="136E31A0"/>
    <w:rsid w:val="13951726"/>
    <w:rsid w:val="13D63142"/>
    <w:rsid w:val="14396509"/>
    <w:rsid w:val="14DD2C3C"/>
    <w:rsid w:val="152D6AC8"/>
    <w:rsid w:val="16087E1D"/>
    <w:rsid w:val="16812A24"/>
    <w:rsid w:val="16F2379D"/>
    <w:rsid w:val="17120A30"/>
    <w:rsid w:val="17701D14"/>
    <w:rsid w:val="17735226"/>
    <w:rsid w:val="17A44471"/>
    <w:rsid w:val="17A646EB"/>
    <w:rsid w:val="189F624C"/>
    <w:rsid w:val="18C36239"/>
    <w:rsid w:val="19516FA3"/>
    <w:rsid w:val="19BA4177"/>
    <w:rsid w:val="19F03F57"/>
    <w:rsid w:val="1A1C66C0"/>
    <w:rsid w:val="1A42393B"/>
    <w:rsid w:val="1A5E09E1"/>
    <w:rsid w:val="1AAD45DE"/>
    <w:rsid w:val="1B046F80"/>
    <w:rsid w:val="1B3267B5"/>
    <w:rsid w:val="1B40161D"/>
    <w:rsid w:val="1B441859"/>
    <w:rsid w:val="1B5C7EF5"/>
    <w:rsid w:val="1B6606B1"/>
    <w:rsid w:val="1B744C5C"/>
    <w:rsid w:val="1B8066B0"/>
    <w:rsid w:val="1C0421F2"/>
    <w:rsid w:val="1C3F3D73"/>
    <w:rsid w:val="1C5C5945"/>
    <w:rsid w:val="1C5E7925"/>
    <w:rsid w:val="1CB82028"/>
    <w:rsid w:val="1CFD070F"/>
    <w:rsid w:val="1D5F6196"/>
    <w:rsid w:val="1D6132A5"/>
    <w:rsid w:val="1D8E56D5"/>
    <w:rsid w:val="1DD23BF1"/>
    <w:rsid w:val="1DF9745D"/>
    <w:rsid w:val="1E7A43DA"/>
    <w:rsid w:val="1E8C3632"/>
    <w:rsid w:val="1F290D9C"/>
    <w:rsid w:val="1F446DDE"/>
    <w:rsid w:val="1F4612F5"/>
    <w:rsid w:val="1FE7539E"/>
    <w:rsid w:val="1FF43BB1"/>
    <w:rsid w:val="203D6B25"/>
    <w:rsid w:val="2065063D"/>
    <w:rsid w:val="20671BE0"/>
    <w:rsid w:val="20713FE1"/>
    <w:rsid w:val="20963CB8"/>
    <w:rsid w:val="20A81A1B"/>
    <w:rsid w:val="20AD4223"/>
    <w:rsid w:val="20B07FB6"/>
    <w:rsid w:val="20B646FB"/>
    <w:rsid w:val="20BC50D1"/>
    <w:rsid w:val="213B74B1"/>
    <w:rsid w:val="215A2310"/>
    <w:rsid w:val="21DE318A"/>
    <w:rsid w:val="21E22F8A"/>
    <w:rsid w:val="21EF5B80"/>
    <w:rsid w:val="22576990"/>
    <w:rsid w:val="22F47480"/>
    <w:rsid w:val="230C6ADF"/>
    <w:rsid w:val="2336633E"/>
    <w:rsid w:val="23DE1C48"/>
    <w:rsid w:val="240210CD"/>
    <w:rsid w:val="24183A7C"/>
    <w:rsid w:val="24BF09F7"/>
    <w:rsid w:val="24C57BB1"/>
    <w:rsid w:val="252D53FE"/>
    <w:rsid w:val="254954CC"/>
    <w:rsid w:val="25A93533"/>
    <w:rsid w:val="25CB0FE1"/>
    <w:rsid w:val="25EC2D81"/>
    <w:rsid w:val="277057A2"/>
    <w:rsid w:val="27951628"/>
    <w:rsid w:val="282B53C2"/>
    <w:rsid w:val="286B4632"/>
    <w:rsid w:val="28824B9C"/>
    <w:rsid w:val="28B22A05"/>
    <w:rsid w:val="28BD6AC7"/>
    <w:rsid w:val="29206EB8"/>
    <w:rsid w:val="29595666"/>
    <w:rsid w:val="2982502C"/>
    <w:rsid w:val="29874881"/>
    <w:rsid w:val="29E325E0"/>
    <w:rsid w:val="2A452503"/>
    <w:rsid w:val="2A6023B4"/>
    <w:rsid w:val="2AF02E70"/>
    <w:rsid w:val="2BA936A8"/>
    <w:rsid w:val="2C261785"/>
    <w:rsid w:val="2C315A5A"/>
    <w:rsid w:val="2C4B1C25"/>
    <w:rsid w:val="2CB4053C"/>
    <w:rsid w:val="2CBC29B8"/>
    <w:rsid w:val="2CFF4E91"/>
    <w:rsid w:val="2D9E56F5"/>
    <w:rsid w:val="2E527BE1"/>
    <w:rsid w:val="2E642E7C"/>
    <w:rsid w:val="2E667F96"/>
    <w:rsid w:val="2E8226AB"/>
    <w:rsid w:val="2F917CA1"/>
    <w:rsid w:val="2FD065E6"/>
    <w:rsid w:val="2FD96870"/>
    <w:rsid w:val="30580BC9"/>
    <w:rsid w:val="30922896"/>
    <w:rsid w:val="30F522B6"/>
    <w:rsid w:val="311E2ED7"/>
    <w:rsid w:val="312C6F4D"/>
    <w:rsid w:val="31300E93"/>
    <w:rsid w:val="315619EE"/>
    <w:rsid w:val="315C449C"/>
    <w:rsid w:val="31696019"/>
    <w:rsid w:val="31B82709"/>
    <w:rsid w:val="31D05482"/>
    <w:rsid w:val="31DC2467"/>
    <w:rsid w:val="32400B34"/>
    <w:rsid w:val="329E6876"/>
    <w:rsid w:val="330C0033"/>
    <w:rsid w:val="333015F2"/>
    <w:rsid w:val="334B6320"/>
    <w:rsid w:val="337C30AF"/>
    <w:rsid w:val="33922B78"/>
    <w:rsid w:val="33AD106A"/>
    <w:rsid w:val="33B702AD"/>
    <w:rsid w:val="33D934D4"/>
    <w:rsid w:val="33FE2F6A"/>
    <w:rsid w:val="340D1832"/>
    <w:rsid w:val="340E07E5"/>
    <w:rsid w:val="34235BF7"/>
    <w:rsid w:val="3488722A"/>
    <w:rsid w:val="34945CFC"/>
    <w:rsid w:val="34FE0405"/>
    <w:rsid w:val="35173F81"/>
    <w:rsid w:val="35455D53"/>
    <w:rsid w:val="355F7FFF"/>
    <w:rsid w:val="358C5FA8"/>
    <w:rsid w:val="35C15DF1"/>
    <w:rsid w:val="36074A7F"/>
    <w:rsid w:val="361179F3"/>
    <w:rsid w:val="36923549"/>
    <w:rsid w:val="36B75FBF"/>
    <w:rsid w:val="36BD0C45"/>
    <w:rsid w:val="372D7D6D"/>
    <w:rsid w:val="378B75DF"/>
    <w:rsid w:val="37B704C1"/>
    <w:rsid w:val="37D376E6"/>
    <w:rsid w:val="37DD473C"/>
    <w:rsid w:val="37E00298"/>
    <w:rsid w:val="37F4613A"/>
    <w:rsid w:val="37FA6FDA"/>
    <w:rsid w:val="386203F7"/>
    <w:rsid w:val="38B302F9"/>
    <w:rsid w:val="38F12CD3"/>
    <w:rsid w:val="38F94775"/>
    <w:rsid w:val="392971ED"/>
    <w:rsid w:val="39325651"/>
    <w:rsid w:val="39394C48"/>
    <w:rsid w:val="398E34A3"/>
    <w:rsid w:val="3A872856"/>
    <w:rsid w:val="3B086675"/>
    <w:rsid w:val="3B332529"/>
    <w:rsid w:val="3B3763D1"/>
    <w:rsid w:val="3B8574BF"/>
    <w:rsid w:val="3B937587"/>
    <w:rsid w:val="3BBD4CA2"/>
    <w:rsid w:val="3BF836CB"/>
    <w:rsid w:val="3C2F6E1E"/>
    <w:rsid w:val="3C4E58AE"/>
    <w:rsid w:val="3C4F64BA"/>
    <w:rsid w:val="3CDA245A"/>
    <w:rsid w:val="3CE979C3"/>
    <w:rsid w:val="3CF3249B"/>
    <w:rsid w:val="3D051F86"/>
    <w:rsid w:val="3D1E06B7"/>
    <w:rsid w:val="3DB7332E"/>
    <w:rsid w:val="3DD90211"/>
    <w:rsid w:val="3E3B00FE"/>
    <w:rsid w:val="3E570308"/>
    <w:rsid w:val="3EA84B9F"/>
    <w:rsid w:val="3EDA0523"/>
    <w:rsid w:val="3F260176"/>
    <w:rsid w:val="3F8C10E1"/>
    <w:rsid w:val="407A6407"/>
    <w:rsid w:val="40C2257D"/>
    <w:rsid w:val="40E32AFB"/>
    <w:rsid w:val="414D50B4"/>
    <w:rsid w:val="416F1917"/>
    <w:rsid w:val="41D75D98"/>
    <w:rsid w:val="41DE3196"/>
    <w:rsid w:val="4200449D"/>
    <w:rsid w:val="423A3BCC"/>
    <w:rsid w:val="424E57D2"/>
    <w:rsid w:val="42B26C49"/>
    <w:rsid w:val="42D37C1F"/>
    <w:rsid w:val="433A6FE6"/>
    <w:rsid w:val="43480868"/>
    <w:rsid w:val="4350713C"/>
    <w:rsid w:val="436653E0"/>
    <w:rsid w:val="43BF3BED"/>
    <w:rsid w:val="43C4431A"/>
    <w:rsid w:val="44B951CC"/>
    <w:rsid w:val="44CD14E0"/>
    <w:rsid w:val="44F20B0B"/>
    <w:rsid w:val="452E5F4C"/>
    <w:rsid w:val="4534661F"/>
    <w:rsid w:val="45612018"/>
    <w:rsid w:val="458946E9"/>
    <w:rsid w:val="45955E0E"/>
    <w:rsid w:val="45A47C0E"/>
    <w:rsid w:val="45B30333"/>
    <w:rsid w:val="46577FD6"/>
    <w:rsid w:val="469C4D56"/>
    <w:rsid w:val="46D955A7"/>
    <w:rsid w:val="46EE50FE"/>
    <w:rsid w:val="47133957"/>
    <w:rsid w:val="47631A97"/>
    <w:rsid w:val="4789212E"/>
    <w:rsid w:val="478C0074"/>
    <w:rsid w:val="47A07E0C"/>
    <w:rsid w:val="47CE2AD9"/>
    <w:rsid w:val="4870272E"/>
    <w:rsid w:val="4899716E"/>
    <w:rsid w:val="48DC300E"/>
    <w:rsid w:val="494213F5"/>
    <w:rsid w:val="494F0E67"/>
    <w:rsid w:val="495042D1"/>
    <w:rsid w:val="49DC7715"/>
    <w:rsid w:val="4A023139"/>
    <w:rsid w:val="4A7B576F"/>
    <w:rsid w:val="4A8B149C"/>
    <w:rsid w:val="4AB43501"/>
    <w:rsid w:val="4AE87B4E"/>
    <w:rsid w:val="4AF561A9"/>
    <w:rsid w:val="4C4A0649"/>
    <w:rsid w:val="4C7E5ECA"/>
    <w:rsid w:val="4C876AA5"/>
    <w:rsid w:val="4D0E00FB"/>
    <w:rsid w:val="4D176606"/>
    <w:rsid w:val="4DC97E6B"/>
    <w:rsid w:val="4DEC4FB0"/>
    <w:rsid w:val="4E075D8A"/>
    <w:rsid w:val="4E565369"/>
    <w:rsid w:val="4E7E439A"/>
    <w:rsid w:val="4EC00FAD"/>
    <w:rsid w:val="4F894099"/>
    <w:rsid w:val="4F9843DC"/>
    <w:rsid w:val="4FC62A8C"/>
    <w:rsid w:val="4FE20F0D"/>
    <w:rsid w:val="4FE51552"/>
    <w:rsid w:val="4FF27E90"/>
    <w:rsid w:val="50504C4B"/>
    <w:rsid w:val="506F173A"/>
    <w:rsid w:val="509C6E7C"/>
    <w:rsid w:val="51466B26"/>
    <w:rsid w:val="5162104E"/>
    <w:rsid w:val="52AA2CA4"/>
    <w:rsid w:val="52DC28E2"/>
    <w:rsid w:val="532D0628"/>
    <w:rsid w:val="534053B7"/>
    <w:rsid w:val="538C02E0"/>
    <w:rsid w:val="53A039CC"/>
    <w:rsid w:val="53A1505A"/>
    <w:rsid w:val="54063E08"/>
    <w:rsid w:val="543437E8"/>
    <w:rsid w:val="54F73313"/>
    <w:rsid w:val="54F75F49"/>
    <w:rsid w:val="54F80955"/>
    <w:rsid w:val="555170A7"/>
    <w:rsid w:val="5587536D"/>
    <w:rsid w:val="559B174B"/>
    <w:rsid w:val="55CE0CF4"/>
    <w:rsid w:val="5612303A"/>
    <w:rsid w:val="561622DF"/>
    <w:rsid w:val="561A723A"/>
    <w:rsid w:val="56812B6B"/>
    <w:rsid w:val="56B22A9C"/>
    <w:rsid w:val="57340C47"/>
    <w:rsid w:val="57846C11"/>
    <w:rsid w:val="57B72A76"/>
    <w:rsid w:val="57BF34B0"/>
    <w:rsid w:val="57C3426C"/>
    <w:rsid w:val="57CE1F93"/>
    <w:rsid w:val="588743D1"/>
    <w:rsid w:val="5887701A"/>
    <w:rsid w:val="59183063"/>
    <w:rsid w:val="59393920"/>
    <w:rsid w:val="59C0439F"/>
    <w:rsid w:val="5A6E0A5B"/>
    <w:rsid w:val="5ABE2233"/>
    <w:rsid w:val="5B7A48C6"/>
    <w:rsid w:val="5BDA0493"/>
    <w:rsid w:val="5BDF5D95"/>
    <w:rsid w:val="5BFB157E"/>
    <w:rsid w:val="5BFE7528"/>
    <w:rsid w:val="5CE41BB7"/>
    <w:rsid w:val="5E021BE6"/>
    <w:rsid w:val="5E2467F1"/>
    <w:rsid w:val="5EC70225"/>
    <w:rsid w:val="5F1A2B43"/>
    <w:rsid w:val="5F621CB2"/>
    <w:rsid w:val="5FB837BB"/>
    <w:rsid w:val="5FD04E3A"/>
    <w:rsid w:val="60A91CEF"/>
    <w:rsid w:val="60BF7BCC"/>
    <w:rsid w:val="60CC405A"/>
    <w:rsid w:val="61A678AA"/>
    <w:rsid w:val="61E215D8"/>
    <w:rsid w:val="621B3775"/>
    <w:rsid w:val="62364782"/>
    <w:rsid w:val="629A3F7E"/>
    <w:rsid w:val="62B36544"/>
    <w:rsid w:val="62DD00F5"/>
    <w:rsid w:val="63847AD9"/>
    <w:rsid w:val="6394356A"/>
    <w:rsid w:val="639A5587"/>
    <w:rsid w:val="63C61B2C"/>
    <w:rsid w:val="63D40BE9"/>
    <w:rsid w:val="64102431"/>
    <w:rsid w:val="643F38C9"/>
    <w:rsid w:val="646A3423"/>
    <w:rsid w:val="64A000A8"/>
    <w:rsid w:val="64A5243A"/>
    <w:rsid w:val="64CC4D52"/>
    <w:rsid w:val="64F531DE"/>
    <w:rsid w:val="650B663A"/>
    <w:rsid w:val="65271557"/>
    <w:rsid w:val="65373578"/>
    <w:rsid w:val="663A5727"/>
    <w:rsid w:val="66954443"/>
    <w:rsid w:val="66B8412D"/>
    <w:rsid w:val="66C313BB"/>
    <w:rsid w:val="671F124A"/>
    <w:rsid w:val="674D31B0"/>
    <w:rsid w:val="6772105F"/>
    <w:rsid w:val="677A33C6"/>
    <w:rsid w:val="67AE6912"/>
    <w:rsid w:val="67CF0ABF"/>
    <w:rsid w:val="681F6961"/>
    <w:rsid w:val="684D2B48"/>
    <w:rsid w:val="68610A2F"/>
    <w:rsid w:val="68736C70"/>
    <w:rsid w:val="68805514"/>
    <w:rsid w:val="68C777DF"/>
    <w:rsid w:val="68D253CF"/>
    <w:rsid w:val="68DE7A63"/>
    <w:rsid w:val="691541FF"/>
    <w:rsid w:val="69316E2F"/>
    <w:rsid w:val="694E2071"/>
    <w:rsid w:val="69766163"/>
    <w:rsid w:val="697A3B33"/>
    <w:rsid w:val="69853A16"/>
    <w:rsid w:val="69D44760"/>
    <w:rsid w:val="6A520EC7"/>
    <w:rsid w:val="6A7737B4"/>
    <w:rsid w:val="6AF87E20"/>
    <w:rsid w:val="6B322639"/>
    <w:rsid w:val="6C3759A0"/>
    <w:rsid w:val="6C636C38"/>
    <w:rsid w:val="6D224DF1"/>
    <w:rsid w:val="6DB34098"/>
    <w:rsid w:val="6DB545B6"/>
    <w:rsid w:val="6DE02FB4"/>
    <w:rsid w:val="6E095596"/>
    <w:rsid w:val="6E514CED"/>
    <w:rsid w:val="6EB563D5"/>
    <w:rsid w:val="6ED51589"/>
    <w:rsid w:val="6ED92677"/>
    <w:rsid w:val="6F225983"/>
    <w:rsid w:val="6FB92082"/>
    <w:rsid w:val="6FFC5590"/>
    <w:rsid w:val="706525CA"/>
    <w:rsid w:val="706D1DD0"/>
    <w:rsid w:val="70856B87"/>
    <w:rsid w:val="709A2FB8"/>
    <w:rsid w:val="70A67F78"/>
    <w:rsid w:val="70D527EE"/>
    <w:rsid w:val="70FE6E8B"/>
    <w:rsid w:val="715B5300"/>
    <w:rsid w:val="717C26B5"/>
    <w:rsid w:val="71863D06"/>
    <w:rsid w:val="71D27F8A"/>
    <w:rsid w:val="71E2790D"/>
    <w:rsid w:val="7236233A"/>
    <w:rsid w:val="72553024"/>
    <w:rsid w:val="72F334E9"/>
    <w:rsid w:val="73122968"/>
    <w:rsid w:val="731F5D5E"/>
    <w:rsid w:val="733137DE"/>
    <w:rsid w:val="73701303"/>
    <w:rsid w:val="73C51AD5"/>
    <w:rsid w:val="74091617"/>
    <w:rsid w:val="741E793C"/>
    <w:rsid w:val="745E3944"/>
    <w:rsid w:val="74E737F2"/>
    <w:rsid w:val="754725C9"/>
    <w:rsid w:val="75695D44"/>
    <w:rsid w:val="75B81A6F"/>
    <w:rsid w:val="75DA08FB"/>
    <w:rsid w:val="7635099D"/>
    <w:rsid w:val="764F5EFD"/>
    <w:rsid w:val="774F55BA"/>
    <w:rsid w:val="776F3116"/>
    <w:rsid w:val="77762421"/>
    <w:rsid w:val="77B56B1F"/>
    <w:rsid w:val="78015C80"/>
    <w:rsid w:val="780F09F4"/>
    <w:rsid w:val="78A90480"/>
    <w:rsid w:val="78AA763A"/>
    <w:rsid w:val="78C7159C"/>
    <w:rsid w:val="79AB080A"/>
    <w:rsid w:val="79DC026A"/>
    <w:rsid w:val="7A364017"/>
    <w:rsid w:val="7A71657B"/>
    <w:rsid w:val="7A8265E1"/>
    <w:rsid w:val="7A9868D2"/>
    <w:rsid w:val="7AE11970"/>
    <w:rsid w:val="7AF04F34"/>
    <w:rsid w:val="7B6736A6"/>
    <w:rsid w:val="7B686D42"/>
    <w:rsid w:val="7B841746"/>
    <w:rsid w:val="7BBF0CBF"/>
    <w:rsid w:val="7C6C5AC7"/>
    <w:rsid w:val="7CBF1CB4"/>
    <w:rsid w:val="7CC6544B"/>
    <w:rsid w:val="7CD723EE"/>
    <w:rsid w:val="7D0239FF"/>
    <w:rsid w:val="7D0F3580"/>
    <w:rsid w:val="7D5E40CD"/>
    <w:rsid w:val="7D6D657C"/>
    <w:rsid w:val="7D7362E5"/>
    <w:rsid w:val="7D830DB2"/>
    <w:rsid w:val="7DCD56F2"/>
    <w:rsid w:val="7F001CE7"/>
    <w:rsid w:val="7F1A6294"/>
    <w:rsid w:val="7F3A3CB7"/>
    <w:rsid w:val="7F6025E0"/>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nhideWhenUsed="0" w:uiPriority="35"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iPriority="0" w:semiHidden="0" w:name="Block Text" w:locked="1"/>
    <w:lsdException w:qFormat="1" w:uiPriority="99" w:semiHidden="0" w:name="Hyperlink" w:locked="1"/>
    <w:lsdException w:qFormat="1"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74"/>
    <w:autoRedefine/>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1"/>
    <w:autoRedefine/>
    <w:semiHidden/>
    <w:unhideWhenUsed/>
    <w:qFormat/>
    <w:locked/>
    <w:uiPriority w:val="0"/>
    <w:pPr>
      <w:keepNext/>
      <w:keepLines/>
      <w:spacing w:before="260" w:after="260" w:line="416" w:lineRule="auto"/>
      <w:outlineLvl w:val="2"/>
    </w:pPr>
    <w:rPr>
      <w:b/>
      <w:bCs/>
      <w:sz w:val="32"/>
      <w:szCs w:val="32"/>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locked/>
    <w:uiPriority w:val="99"/>
    <w:pPr>
      <w:ind w:firstLine="420"/>
    </w:pPr>
    <w:rPr>
      <w:sz w:val="24"/>
      <w:szCs w:val="20"/>
    </w:rPr>
  </w:style>
  <w:style w:type="paragraph" w:styleId="6">
    <w:name w:val="caption"/>
    <w:basedOn w:val="1"/>
    <w:next w:val="1"/>
    <w:autoRedefine/>
    <w:qFormat/>
    <w:locked/>
    <w:uiPriority w:val="35"/>
    <w:rPr>
      <w:rFonts w:ascii="Arial" w:hAnsi="Arial" w:eastAsia="黑体"/>
      <w:sz w:val="20"/>
    </w:rPr>
  </w:style>
  <w:style w:type="paragraph" w:styleId="7">
    <w:name w:val="annotation text"/>
    <w:basedOn w:val="1"/>
    <w:link w:val="47"/>
    <w:autoRedefine/>
    <w:semiHidden/>
    <w:qFormat/>
    <w:uiPriority w:val="0"/>
    <w:pPr>
      <w:jc w:val="left"/>
    </w:pPr>
    <w:rPr>
      <w:kern w:val="0"/>
      <w:sz w:val="24"/>
      <w:szCs w:val="20"/>
    </w:rPr>
  </w:style>
  <w:style w:type="paragraph" w:styleId="8">
    <w:name w:val="Body Text"/>
    <w:basedOn w:val="1"/>
    <w:link w:val="46"/>
    <w:autoRedefine/>
    <w:qFormat/>
    <w:uiPriority w:val="0"/>
    <w:pPr>
      <w:widowControl/>
      <w:snapToGrid w:val="0"/>
      <w:spacing w:before="60" w:after="160" w:line="259" w:lineRule="auto"/>
      <w:ind w:right="113"/>
    </w:pPr>
    <w:rPr>
      <w:kern w:val="0"/>
      <w:sz w:val="18"/>
      <w:szCs w:val="20"/>
    </w:rPr>
  </w:style>
  <w:style w:type="paragraph" w:styleId="9">
    <w:name w:val="Body Text Indent"/>
    <w:basedOn w:val="1"/>
    <w:next w:val="10"/>
    <w:link w:val="55"/>
    <w:autoRedefine/>
    <w:qFormat/>
    <w:uiPriority w:val="0"/>
    <w:pPr>
      <w:spacing w:after="120"/>
      <w:ind w:left="420" w:leftChars="200"/>
    </w:pPr>
    <w:rPr>
      <w:kern w:val="0"/>
      <w:sz w:val="24"/>
      <w:szCs w:val="20"/>
    </w:rPr>
  </w:style>
  <w:style w:type="paragraph" w:styleId="10">
    <w:name w:val="header"/>
    <w:basedOn w:val="1"/>
    <w:next w:val="11"/>
    <w:link w:val="53"/>
    <w:autoRedefine/>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12"/>
    <w:autoRedefine/>
    <w:qFormat/>
    <w:uiPriority w:val="0"/>
    <w:rPr>
      <w:rFonts w:ascii="黑体" w:hAnsi="Times New Roman"/>
    </w:rPr>
  </w:style>
  <w:style w:type="paragraph" w:customStyle="1" w:styleId="12">
    <w:name w:val="样式3"/>
    <w:basedOn w:val="13"/>
    <w:autoRedefine/>
    <w:qFormat/>
    <w:uiPriority w:val="0"/>
    <w:pPr>
      <w:snapToGrid w:val="0"/>
      <w:jc w:val="center"/>
    </w:pPr>
    <w:rPr>
      <w:rFonts w:hAnsi="黑体" w:eastAsia="黑体"/>
      <w:color w:val="000000"/>
    </w:rPr>
  </w:style>
  <w:style w:type="paragraph" w:styleId="13">
    <w:name w:val="List"/>
    <w:basedOn w:val="1"/>
    <w:autoRedefine/>
    <w:qFormat/>
    <w:locked/>
    <w:uiPriority w:val="0"/>
    <w:pPr>
      <w:widowControl/>
      <w:spacing w:line="440" w:lineRule="exact"/>
      <w:ind w:left="200" w:hanging="200"/>
      <w:jc w:val="left"/>
    </w:pPr>
    <w:rPr>
      <w:kern w:val="0"/>
      <w:sz w:val="24"/>
      <w:szCs w:val="20"/>
    </w:rPr>
  </w:style>
  <w:style w:type="paragraph" w:styleId="14">
    <w:name w:val="Block Text"/>
    <w:basedOn w:val="1"/>
    <w:next w:val="1"/>
    <w:autoRedefine/>
    <w:unhideWhenUsed/>
    <w:qFormat/>
    <w:locked/>
    <w:uiPriority w:val="0"/>
    <w:pPr>
      <w:spacing w:after="120" w:line="360" w:lineRule="auto"/>
      <w:ind w:left="1440" w:leftChars="700" w:right="1440" w:rightChars="700" w:firstLine="200" w:firstLineChars="200"/>
      <w:jc w:val="left"/>
    </w:pPr>
    <w:rPr>
      <w:sz w:val="24"/>
      <w:lang w:val="en-GB" w:eastAsia="zh-TW"/>
    </w:rPr>
  </w:style>
  <w:style w:type="paragraph" w:styleId="15">
    <w:name w:val="Plain Text"/>
    <w:basedOn w:val="1"/>
    <w:next w:val="1"/>
    <w:autoRedefine/>
    <w:qFormat/>
    <w:locked/>
    <w:uiPriority w:val="0"/>
    <w:rPr>
      <w:rFonts w:ascii="宋体" w:hAnsi="Courier New" w:eastAsia="Times New Roman"/>
      <w:szCs w:val="20"/>
    </w:rPr>
  </w:style>
  <w:style w:type="paragraph" w:styleId="16">
    <w:name w:val="Date"/>
    <w:basedOn w:val="1"/>
    <w:next w:val="1"/>
    <w:link w:val="42"/>
    <w:autoRedefine/>
    <w:qFormat/>
    <w:uiPriority w:val="0"/>
    <w:pPr>
      <w:ind w:left="100" w:leftChars="2500"/>
    </w:pPr>
    <w:rPr>
      <w:kern w:val="0"/>
      <w:sz w:val="24"/>
      <w:szCs w:val="20"/>
    </w:rPr>
  </w:style>
  <w:style w:type="paragraph" w:styleId="17">
    <w:name w:val="Body Text Indent 2"/>
    <w:basedOn w:val="1"/>
    <w:link w:val="76"/>
    <w:autoRedefine/>
    <w:qFormat/>
    <w:locked/>
    <w:uiPriority w:val="0"/>
    <w:pPr>
      <w:spacing w:after="120" w:line="480" w:lineRule="auto"/>
      <w:ind w:left="420" w:leftChars="200"/>
    </w:pPr>
  </w:style>
  <w:style w:type="paragraph" w:styleId="18">
    <w:name w:val="Balloon Text"/>
    <w:basedOn w:val="1"/>
    <w:link w:val="51"/>
    <w:autoRedefine/>
    <w:semiHidden/>
    <w:qFormat/>
    <w:uiPriority w:val="0"/>
    <w:rPr>
      <w:kern w:val="0"/>
      <w:sz w:val="18"/>
      <w:szCs w:val="20"/>
    </w:rPr>
  </w:style>
  <w:style w:type="paragraph" w:styleId="19">
    <w:name w:val="footer"/>
    <w:basedOn w:val="1"/>
    <w:link w:val="41"/>
    <w:autoRedefine/>
    <w:qFormat/>
    <w:uiPriority w:val="99"/>
    <w:pPr>
      <w:tabs>
        <w:tab w:val="center" w:pos="4153"/>
        <w:tab w:val="right" w:pos="8306"/>
      </w:tabs>
      <w:snapToGrid w:val="0"/>
      <w:jc w:val="left"/>
    </w:pPr>
    <w:rPr>
      <w:kern w:val="0"/>
      <w:sz w:val="18"/>
      <w:szCs w:val="20"/>
    </w:rPr>
  </w:style>
  <w:style w:type="paragraph" w:styleId="20">
    <w:name w:val="toc 1"/>
    <w:basedOn w:val="1"/>
    <w:next w:val="1"/>
    <w:autoRedefine/>
    <w:unhideWhenUsed/>
    <w:qFormat/>
    <w:locked/>
    <w:uiPriority w:val="39"/>
    <w:pPr>
      <w:tabs>
        <w:tab w:val="right" w:leader="hyphen" w:pos="8296"/>
      </w:tabs>
      <w:adjustRightInd w:val="0"/>
      <w:snapToGrid w:val="0"/>
    </w:pPr>
  </w:style>
  <w:style w:type="paragraph" w:styleId="21">
    <w:name w:val="index heading"/>
    <w:basedOn w:val="1"/>
    <w:next w:val="22"/>
    <w:autoRedefine/>
    <w:semiHidden/>
    <w:qFormat/>
    <w:locked/>
    <w:uiPriority w:val="0"/>
    <w:rPr>
      <w:rFonts w:ascii="Arial" w:hAnsi="Arial" w:cs="Arial"/>
      <w:b/>
      <w:bCs/>
    </w:rPr>
  </w:style>
  <w:style w:type="paragraph" w:styleId="22">
    <w:name w:val="index 1"/>
    <w:basedOn w:val="1"/>
    <w:next w:val="1"/>
    <w:autoRedefine/>
    <w:qFormat/>
    <w:locked/>
    <w:uiPriority w:val="0"/>
    <w:rPr>
      <w:b/>
      <w:spacing w:val="-6"/>
      <w:sz w:val="28"/>
      <w:szCs w:val="28"/>
    </w:rPr>
  </w:style>
  <w:style w:type="paragraph" w:styleId="23">
    <w:name w:val="table of figures"/>
    <w:basedOn w:val="1"/>
    <w:next w:val="1"/>
    <w:autoRedefine/>
    <w:qFormat/>
    <w:locked/>
    <w:uiPriority w:val="0"/>
    <w:pPr>
      <w:ind w:left="200" w:leftChars="200" w:hanging="200" w:hangingChars="200"/>
    </w:pPr>
    <w:rPr>
      <w:rFonts w:ascii="Calibri" w:hAnsi="Calibri"/>
    </w:rPr>
  </w:style>
  <w:style w:type="paragraph" w:styleId="24">
    <w:name w:val="Body Text 2"/>
    <w:basedOn w:val="1"/>
    <w:autoRedefine/>
    <w:qFormat/>
    <w:locked/>
    <w:uiPriority w:val="0"/>
    <w:pPr>
      <w:spacing w:after="120" w:line="480" w:lineRule="auto"/>
    </w:pPr>
  </w:style>
  <w:style w:type="paragraph" w:styleId="25">
    <w:name w:val="Normal (Web)"/>
    <w:basedOn w:val="1"/>
    <w:link w:val="44"/>
    <w:autoRedefine/>
    <w:qFormat/>
    <w:uiPriority w:val="99"/>
    <w:pPr>
      <w:widowControl/>
      <w:spacing w:before="100" w:beforeAutospacing="1" w:after="100" w:afterAutospacing="1"/>
      <w:jc w:val="left"/>
    </w:pPr>
    <w:rPr>
      <w:rFonts w:ascii="宋体" w:hAnsi="宋体"/>
      <w:kern w:val="0"/>
      <w:sz w:val="24"/>
      <w:szCs w:val="20"/>
    </w:rPr>
  </w:style>
  <w:style w:type="paragraph" w:styleId="26">
    <w:name w:val="annotation subject"/>
    <w:basedOn w:val="7"/>
    <w:next w:val="7"/>
    <w:link w:val="52"/>
    <w:autoRedefine/>
    <w:semiHidden/>
    <w:qFormat/>
    <w:uiPriority w:val="0"/>
    <w:rPr>
      <w:b/>
    </w:rPr>
  </w:style>
  <w:style w:type="paragraph" w:styleId="27">
    <w:name w:val="Body Text First Indent"/>
    <w:basedOn w:val="8"/>
    <w:autoRedefine/>
    <w:qFormat/>
    <w:locked/>
    <w:uiPriority w:val="0"/>
    <w:pPr>
      <w:topLinePunct/>
      <w:adjustRightInd w:val="0"/>
      <w:spacing w:line="360" w:lineRule="auto"/>
      <w:ind w:firstLine="560" w:firstLineChars="200"/>
    </w:pPr>
    <w:rPr>
      <w:rFonts w:ascii="仿宋_GB2312" w:eastAsia="方正仿宋简体"/>
      <w:sz w:val="28"/>
    </w:rPr>
  </w:style>
  <w:style w:type="paragraph" w:styleId="28">
    <w:name w:val="Body Text First Indent 2"/>
    <w:basedOn w:val="9"/>
    <w:next w:val="1"/>
    <w:link w:val="58"/>
    <w:autoRedefine/>
    <w:qFormat/>
    <w:locked/>
    <w:uiPriority w:val="0"/>
    <w:pPr>
      <w:ind w:firstLine="420" w:firstLineChars="200"/>
    </w:pPr>
    <w:rPr>
      <w:kern w:val="2"/>
      <w:sz w:val="21"/>
      <w:szCs w:val="24"/>
    </w:r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locked/>
    <w:uiPriority w:val="22"/>
    <w:rPr>
      <w:rFonts w:ascii="Times New Roman" w:hAnsi="Times New Roman" w:eastAsia="宋体"/>
      <w:bCs/>
      <w:sz w:val="24"/>
    </w:rPr>
  </w:style>
  <w:style w:type="character" w:styleId="33">
    <w:name w:val="page number"/>
    <w:basedOn w:val="31"/>
    <w:autoRedefine/>
    <w:qFormat/>
    <w:locked/>
    <w:uiPriority w:val="0"/>
  </w:style>
  <w:style w:type="character" w:styleId="34">
    <w:name w:val="FollowedHyperlink"/>
    <w:basedOn w:val="31"/>
    <w:autoRedefine/>
    <w:qFormat/>
    <w:locked/>
    <w:uiPriority w:val="0"/>
    <w:rPr>
      <w:color w:val="185ECF"/>
      <w:u w:val="none"/>
    </w:rPr>
  </w:style>
  <w:style w:type="character" w:styleId="35">
    <w:name w:val="Hyperlink"/>
    <w:basedOn w:val="31"/>
    <w:autoRedefine/>
    <w:unhideWhenUsed/>
    <w:qFormat/>
    <w:locked/>
    <w:uiPriority w:val="99"/>
    <w:rPr>
      <w:color w:val="0563C1" w:themeColor="hyperlink"/>
      <w:u w:val="single"/>
      <w14:textFill>
        <w14:solidFill>
          <w14:schemeClr w14:val="hlink"/>
        </w14:solidFill>
      </w14:textFill>
    </w:rPr>
  </w:style>
  <w:style w:type="character" w:styleId="36">
    <w:name w:val="annotation reference"/>
    <w:autoRedefine/>
    <w:semiHidden/>
    <w:qFormat/>
    <w:uiPriority w:val="0"/>
    <w:rPr>
      <w:sz w:val="21"/>
    </w:rPr>
  </w:style>
  <w:style w:type="paragraph" w:customStyle="1" w:styleId="37">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Default"/>
    <w:basedOn w:val="39"/>
    <w:next w:val="1"/>
    <w:autoRedefine/>
    <w:qFormat/>
    <w:uiPriority w:val="0"/>
    <w:rPr>
      <w:rFonts w:cs="宋体"/>
      <w:color w:val="000000"/>
      <w:sz w:val="24"/>
      <w:szCs w:val="24"/>
    </w:rPr>
  </w:style>
  <w:style w:type="paragraph" w:customStyle="1" w:styleId="39">
    <w:name w:val="纯文本1"/>
    <w:basedOn w:val="1"/>
    <w:autoRedefine/>
    <w:qFormat/>
    <w:uiPriority w:val="99"/>
    <w:pPr>
      <w:autoSpaceDE w:val="0"/>
      <w:autoSpaceDN w:val="0"/>
      <w:adjustRightInd w:val="0"/>
      <w:textAlignment w:val="baseline"/>
    </w:pPr>
    <w:rPr>
      <w:rFonts w:ascii="宋体"/>
      <w:szCs w:val="20"/>
    </w:rPr>
  </w:style>
  <w:style w:type="paragraph" w:customStyle="1" w:styleId="40">
    <w:name w:val="样式1"/>
    <w:basedOn w:val="21"/>
    <w:next w:val="14"/>
    <w:autoRedefine/>
    <w:qFormat/>
    <w:uiPriority w:val="0"/>
    <w:pPr>
      <w:ind w:firstLine="462" w:firstLineChars="200"/>
    </w:pPr>
    <w:rPr>
      <w:rFonts w:ascii="宋体" w:hAnsi="宋体"/>
      <w:color w:val="000000"/>
      <w:sz w:val="24"/>
    </w:rPr>
  </w:style>
  <w:style w:type="character" w:customStyle="1" w:styleId="41">
    <w:name w:val="页脚 字符1"/>
    <w:link w:val="19"/>
    <w:autoRedefine/>
    <w:qFormat/>
    <w:locked/>
    <w:uiPriority w:val="99"/>
    <w:rPr>
      <w:sz w:val="18"/>
    </w:rPr>
  </w:style>
  <w:style w:type="character" w:customStyle="1" w:styleId="42">
    <w:name w:val="日期 字符1"/>
    <w:link w:val="16"/>
    <w:autoRedefine/>
    <w:qFormat/>
    <w:locked/>
    <w:uiPriority w:val="0"/>
    <w:rPr>
      <w:rFonts w:ascii="Times New Roman" w:hAnsi="Times New Roman" w:eastAsia="宋体"/>
      <w:sz w:val="24"/>
    </w:rPr>
  </w:style>
  <w:style w:type="character" w:customStyle="1" w:styleId="43">
    <w:name w:val="页脚 字符"/>
    <w:basedOn w:val="31"/>
    <w:autoRedefine/>
    <w:qFormat/>
    <w:uiPriority w:val="99"/>
  </w:style>
  <w:style w:type="character" w:customStyle="1" w:styleId="44">
    <w:name w:val="普通(网站) 字符"/>
    <w:link w:val="25"/>
    <w:autoRedefine/>
    <w:qFormat/>
    <w:locked/>
    <w:uiPriority w:val="99"/>
    <w:rPr>
      <w:rFonts w:ascii="宋体" w:hAnsi="宋体" w:eastAsia="宋体"/>
      <w:sz w:val="24"/>
    </w:rPr>
  </w:style>
  <w:style w:type="character" w:customStyle="1" w:styleId="45">
    <w:name w:val="正文文本 字符1"/>
    <w:autoRedefine/>
    <w:semiHidden/>
    <w:qFormat/>
    <w:uiPriority w:val="0"/>
    <w:rPr>
      <w:rFonts w:ascii="Times New Roman" w:hAnsi="Times New Roman" w:eastAsia="宋体"/>
      <w:sz w:val="24"/>
    </w:rPr>
  </w:style>
  <w:style w:type="character" w:customStyle="1" w:styleId="46">
    <w:name w:val="正文文本 字符"/>
    <w:link w:val="8"/>
    <w:autoRedefine/>
    <w:qFormat/>
    <w:locked/>
    <w:uiPriority w:val="0"/>
    <w:rPr>
      <w:sz w:val="18"/>
    </w:rPr>
  </w:style>
  <w:style w:type="character" w:customStyle="1" w:styleId="47">
    <w:name w:val="批注文字 字符"/>
    <w:link w:val="7"/>
    <w:autoRedefine/>
    <w:qFormat/>
    <w:locked/>
    <w:uiPriority w:val="0"/>
    <w:rPr>
      <w:rFonts w:ascii="Times New Roman" w:hAnsi="Times New Roman" w:eastAsia="宋体"/>
      <w:sz w:val="24"/>
    </w:rPr>
  </w:style>
  <w:style w:type="character" w:customStyle="1" w:styleId="48">
    <w:name w:val="表格 Char"/>
    <w:link w:val="49"/>
    <w:autoRedefine/>
    <w:qFormat/>
    <w:locked/>
    <w:uiPriority w:val="0"/>
    <w:rPr>
      <w:rFonts w:ascii="宋体"/>
      <w:sz w:val="21"/>
    </w:rPr>
  </w:style>
  <w:style w:type="paragraph" w:customStyle="1" w:styleId="49">
    <w:name w:val="表格"/>
    <w:basedOn w:val="1"/>
    <w:link w:val="48"/>
    <w:autoRedefine/>
    <w:qFormat/>
    <w:uiPriority w:val="0"/>
    <w:pPr>
      <w:adjustRightInd w:val="0"/>
      <w:snapToGrid w:val="0"/>
      <w:spacing w:beforeLines="10" w:afterLines="10" w:line="259" w:lineRule="auto"/>
      <w:jc w:val="center"/>
    </w:pPr>
    <w:rPr>
      <w:rFonts w:ascii="宋体"/>
      <w:kern w:val="0"/>
      <w:szCs w:val="20"/>
    </w:rPr>
  </w:style>
  <w:style w:type="character" w:customStyle="1" w:styleId="50">
    <w:name w:val="日期 字符"/>
    <w:autoRedefine/>
    <w:semiHidden/>
    <w:qFormat/>
    <w:uiPriority w:val="0"/>
    <w:rPr>
      <w:rFonts w:ascii="Times New Roman" w:hAnsi="Times New Roman" w:eastAsia="宋体"/>
      <w:sz w:val="24"/>
    </w:rPr>
  </w:style>
  <w:style w:type="character" w:customStyle="1" w:styleId="51">
    <w:name w:val="批注框文本 字符"/>
    <w:link w:val="18"/>
    <w:autoRedefine/>
    <w:semiHidden/>
    <w:qFormat/>
    <w:locked/>
    <w:uiPriority w:val="0"/>
    <w:rPr>
      <w:rFonts w:ascii="Times New Roman" w:hAnsi="Times New Roman" w:eastAsia="宋体"/>
      <w:sz w:val="18"/>
    </w:rPr>
  </w:style>
  <w:style w:type="character" w:customStyle="1" w:styleId="52">
    <w:name w:val="批注主题 字符"/>
    <w:link w:val="26"/>
    <w:autoRedefine/>
    <w:semiHidden/>
    <w:qFormat/>
    <w:locked/>
    <w:uiPriority w:val="0"/>
    <w:rPr>
      <w:rFonts w:ascii="Times New Roman" w:hAnsi="Times New Roman" w:eastAsia="宋体"/>
      <w:b/>
      <w:kern w:val="2"/>
      <w:sz w:val="24"/>
    </w:rPr>
  </w:style>
  <w:style w:type="character" w:customStyle="1" w:styleId="53">
    <w:name w:val="页眉 字符"/>
    <w:link w:val="10"/>
    <w:autoRedefine/>
    <w:qFormat/>
    <w:locked/>
    <w:uiPriority w:val="0"/>
    <w:rPr>
      <w:sz w:val="18"/>
    </w:rPr>
  </w:style>
  <w:style w:type="character" w:customStyle="1" w:styleId="54">
    <w:name w:val="批注文字 字符1"/>
    <w:autoRedefine/>
    <w:semiHidden/>
    <w:qFormat/>
    <w:uiPriority w:val="0"/>
    <w:rPr>
      <w:rFonts w:ascii="Times New Roman" w:hAnsi="Times New Roman" w:eastAsia="宋体"/>
      <w:sz w:val="24"/>
    </w:rPr>
  </w:style>
  <w:style w:type="character" w:customStyle="1" w:styleId="55">
    <w:name w:val="正文文本缩进 字符"/>
    <w:link w:val="9"/>
    <w:autoRedefine/>
    <w:semiHidden/>
    <w:qFormat/>
    <w:locked/>
    <w:uiPriority w:val="0"/>
    <w:rPr>
      <w:rFonts w:ascii="Times New Roman" w:hAnsi="Times New Roman" w:eastAsia="宋体"/>
      <w:sz w:val="24"/>
    </w:rPr>
  </w:style>
  <w:style w:type="paragraph" w:customStyle="1" w:styleId="5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8">
    <w:name w:val="正文首行缩进 2 字符"/>
    <w:link w:val="28"/>
    <w:autoRedefine/>
    <w:qFormat/>
    <w:uiPriority w:val="0"/>
    <w:rPr>
      <w:rFonts w:ascii="Times New Roman" w:hAnsi="Times New Roman" w:eastAsia="宋体"/>
      <w:kern w:val="2"/>
      <w:sz w:val="21"/>
      <w:szCs w:val="24"/>
    </w:rPr>
  </w:style>
  <w:style w:type="paragraph" w:styleId="59">
    <w:name w:val="List Paragraph"/>
    <w:basedOn w:val="1"/>
    <w:autoRedefine/>
    <w:qFormat/>
    <w:uiPriority w:val="99"/>
    <w:pPr>
      <w:autoSpaceDE w:val="0"/>
      <w:autoSpaceDN w:val="0"/>
      <w:ind w:left="1220" w:hanging="601"/>
      <w:jc w:val="left"/>
    </w:pPr>
    <w:rPr>
      <w:rFonts w:ascii="宋体" w:hAnsi="宋体" w:cs="宋体"/>
      <w:kern w:val="0"/>
      <w:sz w:val="22"/>
      <w:szCs w:val="22"/>
      <w:lang w:eastAsia="en-US"/>
    </w:rPr>
  </w:style>
  <w:style w:type="paragraph" w:customStyle="1" w:styleId="60">
    <w:name w:val="默认段落字体 Para Char Char Char Char Char Char Char Char Char Char"/>
    <w:basedOn w:val="4"/>
    <w:autoRedefine/>
    <w:qFormat/>
    <w:uiPriority w:val="0"/>
    <w:pPr>
      <w:tabs>
        <w:tab w:val="left" w:pos="360"/>
        <w:tab w:val="left" w:pos="900"/>
      </w:tabs>
      <w:snapToGrid w:val="0"/>
      <w:spacing w:before="120" w:after="120" w:line="360" w:lineRule="auto"/>
      <w:ind w:left="542" w:leftChars="-12" w:firstLine="200" w:firstLineChars="200"/>
      <w:jc w:val="left"/>
    </w:pPr>
    <w:rPr>
      <w:rFonts w:ascii="宋体" w:eastAsia="黑体"/>
      <w:b w:val="0"/>
      <w:bCs w:val="0"/>
      <w:kern w:val="0"/>
      <w:sz w:val="24"/>
      <w:szCs w:val="20"/>
    </w:rPr>
  </w:style>
  <w:style w:type="character" w:customStyle="1" w:styleId="61">
    <w:name w:val="标题 3 字符"/>
    <w:link w:val="4"/>
    <w:autoRedefine/>
    <w:semiHidden/>
    <w:qFormat/>
    <w:uiPriority w:val="0"/>
    <w:rPr>
      <w:b/>
      <w:bCs/>
      <w:kern w:val="2"/>
      <w:sz w:val="32"/>
      <w:szCs w:val="32"/>
    </w:rPr>
  </w:style>
  <w:style w:type="character" w:customStyle="1" w:styleId="62">
    <w:name w:val="图表题 Char Char"/>
    <w:link w:val="63"/>
    <w:autoRedefine/>
    <w:qFormat/>
    <w:locked/>
    <w:uiPriority w:val="99"/>
    <w:rPr>
      <w:rFonts w:eastAsia="黑体"/>
      <w:kern w:val="2"/>
      <w:sz w:val="24"/>
    </w:rPr>
  </w:style>
  <w:style w:type="paragraph" w:customStyle="1" w:styleId="63">
    <w:name w:val="图表题"/>
    <w:basedOn w:val="1"/>
    <w:next w:val="1"/>
    <w:link w:val="62"/>
    <w:autoRedefine/>
    <w:qFormat/>
    <w:uiPriority w:val="99"/>
    <w:pPr>
      <w:adjustRightInd w:val="0"/>
      <w:snapToGrid w:val="0"/>
      <w:spacing w:line="360" w:lineRule="auto"/>
      <w:jc w:val="center"/>
    </w:pPr>
    <w:rPr>
      <w:rFonts w:eastAsia="黑体"/>
      <w:sz w:val="24"/>
      <w:szCs w:val="20"/>
    </w:rPr>
  </w:style>
  <w:style w:type="character" w:customStyle="1" w:styleId="64">
    <w:name w:val="【正文】 Char"/>
    <w:link w:val="65"/>
    <w:autoRedefine/>
    <w:qFormat/>
    <w:uiPriority w:val="0"/>
    <w:rPr>
      <w:rFonts w:cs="宋体"/>
      <w:sz w:val="24"/>
    </w:rPr>
  </w:style>
  <w:style w:type="paragraph" w:customStyle="1" w:styleId="65">
    <w:name w:val="【正文】"/>
    <w:basedOn w:val="1"/>
    <w:link w:val="64"/>
    <w:autoRedefine/>
    <w:qFormat/>
    <w:uiPriority w:val="0"/>
    <w:pPr>
      <w:spacing w:line="440" w:lineRule="exact"/>
      <w:ind w:firstLine="544" w:firstLineChars="200"/>
    </w:pPr>
    <w:rPr>
      <w:rFonts w:cs="宋体"/>
      <w:kern w:val="0"/>
      <w:sz w:val="24"/>
      <w:szCs w:val="20"/>
    </w:rPr>
  </w:style>
  <w:style w:type="paragraph" w:customStyle="1" w:styleId="66">
    <w:name w:val="图表标题"/>
    <w:basedOn w:val="1"/>
    <w:next w:val="1"/>
    <w:autoRedefine/>
    <w:qFormat/>
    <w:uiPriority w:val="0"/>
    <w:pPr>
      <w:autoSpaceDE w:val="0"/>
      <w:autoSpaceDN w:val="0"/>
      <w:adjustRightInd w:val="0"/>
      <w:snapToGrid w:val="0"/>
      <w:spacing w:line="500" w:lineRule="exact"/>
      <w:jc w:val="center"/>
    </w:pPr>
    <w:rPr>
      <w:b/>
      <w:kern w:val="0"/>
      <w:sz w:val="24"/>
      <w:szCs w:val="20"/>
    </w:rPr>
  </w:style>
  <w:style w:type="paragraph" w:customStyle="1" w:styleId="67">
    <w:name w:val="图表文字"/>
    <w:basedOn w:val="8"/>
    <w:next w:val="68"/>
    <w:autoRedefine/>
    <w:qFormat/>
    <w:uiPriority w:val="0"/>
    <w:pPr>
      <w:widowControl w:val="0"/>
      <w:snapToGrid/>
      <w:spacing w:before="0" w:after="0" w:line="240" w:lineRule="auto"/>
      <w:ind w:right="0"/>
      <w:jc w:val="center"/>
    </w:pPr>
    <w:rPr>
      <w:rFonts w:eastAsiaTheme="minorEastAsia" w:cstheme="minorBidi"/>
      <w:snapToGrid w:val="0"/>
      <w:kern w:val="2"/>
      <w:sz w:val="21"/>
      <w:szCs w:val="24"/>
    </w:rPr>
  </w:style>
  <w:style w:type="paragraph" w:customStyle="1" w:styleId="68">
    <w:name w:val="0正文"/>
    <w:basedOn w:val="1"/>
    <w:autoRedefine/>
    <w:qFormat/>
    <w:uiPriority w:val="0"/>
    <w:pPr>
      <w:spacing w:line="360" w:lineRule="auto"/>
      <w:ind w:firstLine="480" w:firstLineChars="200"/>
    </w:pPr>
    <w:rPr>
      <w:rFonts w:eastAsia="Times New Roman"/>
      <w:color w:val="0000FF"/>
      <w:kern w:val="0"/>
      <w:sz w:val="24"/>
    </w:rPr>
  </w:style>
  <w:style w:type="character" w:customStyle="1" w:styleId="69">
    <w:name w:val="fontstyle01"/>
    <w:autoRedefine/>
    <w:qFormat/>
    <w:uiPriority w:val="99"/>
    <w:rPr>
      <w:rFonts w:ascii="宋体" w:hAnsi="宋体" w:eastAsia="宋体"/>
      <w:color w:val="000000"/>
      <w:sz w:val="24"/>
    </w:rPr>
  </w:style>
  <w:style w:type="table" w:customStyle="1" w:styleId="70">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1">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72">
    <w:name w:val="正文_14"/>
    <w:autoRedefine/>
    <w:qFormat/>
    <w:uiPriority w:val="0"/>
    <w:pPr>
      <w:widowControl w:val="0"/>
      <w:jc w:val="both"/>
    </w:pPr>
    <w:rPr>
      <w:rFonts w:ascii="Calibri" w:hAnsi="Calibri" w:eastAsia="宋体" w:cs="Times New Roman"/>
      <w:kern w:val="2"/>
      <w:sz w:val="21"/>
      <w:lang w:val="en-US" w:eastAsia="zh-CN" w:bidi="ar-SA"/>
    </w:rPr>
  </w:style>
  <w:style w:type="paragraph" w:customStyle="1" w:styleId="73">
    <w:name w:val="正文_15"/>
    <w:autoRedefine/>
    <w:qFormat/>
    <w:uiPriority w:val="0"/>
    <w:pPr>
      <w:widowControl w:val="0"/>
      <w:jc w:val="both"/>
    </w:pPr>
    <w:rPr>
      <w:rFonts w:ascii="Calibri" w:hAnsi="Calibri" w:eastAsia="宋体" w:cs="Times New Roman"/>
      <w:kern w:val="2"/>
      <w:sz w:val="21"/>
      <w:lang w:val="en-US" w:eastAsia="zh-CN" w:bidi="ar-SA"/>
    </w:rPr>
  </w:style>
  <w:style w:type="character" w:customStyle="1" w:styleId="74">
    <w:name w:val="标题 2 字符"/>
    <w:basedOn w:val="31"/>
    <w:link w:val="3"/>
    <w:autoRedefine/>
    <w:qFormat/>
    <w:uiPriority w:val="0"/>
    <w:rPr>
      <w:rFonts w:asciiTheme="majorHAnsi" w:hAnsiTheme="majorHAnsi" w:eastAsiaTheme="majorEastAsia" w:cstheme="majorBidi"/>
      <w:b/>
      <w:bCs/>
      <w:kern w:val="2"/>
      <w:sz w:val="32"/>
      <w:szCs w:val="32"/>
    </w:rPr>
  </w:style>
  <w:style w:type="table" w:customStyle="1" w:styleId="75">
    <w:name w:val="灰度表格1221"/>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正文文本缩进 2 字符"/>
    <w:basedOn w:val="31"/>
    <w:link w:val="17"/>
    <w:autoRedefine/>
    <w:qFormat/>
    <w:uiPriority w:val="0"/>
    <w:rPr>
      <w:kern w:val="2"/>
      <w:sz w:val="21"/>
      <w:szCs w:val="24"/>
    </w:rPr>
  </w:style>
  <w:style w:type="paragraph" w:customStyle="1" w:styleId="77">
    <w:name w:val="样式 正文 行距: 固定值 25 磅"/>
    <w:autoRedefine/>
    <w:qFormat/>
    <w:uiPriority w:val="0"/>
    <w:pPr>
      <w:widowControl w:val="0"/>
      <w:adjustRightInd w:val="0"/>
      <w:spacing w:line="500" w:lineRule="exact"/>
      <w:ind w:firstLine="200" w:firstLineChars="200"/>
      <w:jc w:val="both"/>
    </w:pPr>
    <w:rPr>
      <w:rFonts w:ascii="Times New Roman" w:hAnsi="Times New Roman" w:eastAsia="宋体" w:cs="宋体"/>
      <w:kern w:val="2"/>
      <w:sz w:val="24"/>
      <w:szCs w:val="24"/>
      <w:lang w:val="en-US" w:eastAsia="zh-CN" w:bidi="ar-SA"/>
    </w:rPr>
  </w:style>
  <w:style w:type="paragraph" w:customStyle="1" w:styleId="78">
    <w:name w:val="正文  首行缩进:  2 字符"/>
    <w:autoRedefine/>
    <w:qFormat/>
    <w:uiPriority w:val="0"/>
    <w:pPr>
      <w:spacing w:line="480" w:lineRule="exact"/>
      <w:ind w:firstLine="560"/>
    </w:pPr>
    <w:rPr>
      <w:rFonts w:ascii="Times New Roman" w:hAnsi="Times New Roman" w:eastAsia="宋体" w:cs="宋体"/>
      <w:lang w:val="en-US" w:eastAsia="zh-CN" w:bidi="ar-SA"/>
    </w:rPr>
  </w:style>
  <w:style w:type="paragraph" w:customStyle="1" w:styleId="79">
    <w:name w:val="D表内1磅"/>
    <w:basedOn w:val="1"/>
    <w:autoRedefine/>
    <w:qFormat/>
    <w:uiPriority w:val="0"/>
    <w:pPr>
      <w:spacing w:before="20" w:after="20"/>
      <w:jc w:val="center"/>
    </w:pPr>
    <w:rPr>
      <w:szCs w:val="21"/>
    </w:rPr>
  </w:style>
  <w:style w:type="paragraph" w:customStyle="1" w:styleId="80">
    <w:name w:val="00000表文字"/>
    <w:basedOn w:val="1"/>
    <w:next w:val="1"/>
    <w:autoRedefine/>
    <w:qFormat/>
    <w:uiPriority w:val="0"/>
    <w:pPr>
      <w:adjustRightInd w:val="0"/>
      <w:snapToGrid w:val="0"/>
      <w:spacing w:line="0" w:lineRule="atLeast"/>
      <w:jc w:val="center"/>
    </w:pPr>
    <w:rPr>
      <w:color w:val="000000"/>
      <w:szCs w:val="21"/>
    </w:rPr>
  </w:style>
  <w:style w:type="paragraph" w:customStyle="1" w:styleId="81">
    <w:name w:val="无间隔1"/>
    <w:basedOn w:val="8"/>
    <w:next w:val="8"/>
    <w:autoRedefine/>
    <w:qFormat/>
    <w:uiPriority w:val="1"/>
    <w:pPr>
      <w:widowControl w:val="0"/>
      <w:adjustRightInd w:val="0"/>
      <w:spacing w:before="0" w:after="0" w:line="360" w:lineRule="exact"/>
      <w:ind w:right="0"/>
      <w:jc w:val="center"/>
    </w:pPr>
    <w:rPr>
      <w:rFonts w:eastAsia="黑体"/>
      <w:kern w:val="2"/>
      <w:sz w:val="21"/>
    </w:rPr>
  </w:style>
  <w:style w:type="paragraph" w:customStyle="1" w:styleId="82">
    <w:name w:val="表格文字"/>
    <w:basedOn w:val="15"/>
    <w:next w:val="1"/>
    <w:autoRedefine/>
    <w:qFormat/>
    <w:uiPriority w:val="0"/>
    <w:pPr>
      <w:tabs>
        <w:tab w:val="center" w:pos="1053"/>
      </w:tabs>
      <w:spacing w:after="120" w:line="360" w:lineRule="exact"/>
      <w:jc w:val="center"/>
    </w:pPr>
    <w:rPr>
      <w:rFonts w:hAnsi="宋体"/>
      <w:kern w:val="21"/>
      <w:szCs w:val="21"/>
      <w:u w:color="000000"/>
    </w:rPr>
  </w:style>
  <w:style w:type="paragraph" w:customStyle="1" w:styleId="83">
    <w:name w:val="报告表格"/>
    <w:basedOn w:val="1"/>
    <w:autoRedefine/>
    <w:qFormat/>
    <w:uiPriority w:val="0"/>
    <w:pPr>
      <w:autoSpaceDE w:val="0"/>
      <w:autoSpaceDN w:val="0"/>
      <w:adjustRightInd w:val="0"/>
      <w:spacing w:before="40" w:after="40"/>
      <w:ind w:firstLine="200" w:firstLineChars="200"/>
      <w:jc w:val="center"/>
      <w:textAlignment w:val="bottom"/>
    </w:pPr>
    <w:rPr>
      <w:kern w:val="0"/>
      <w:szCs w:val="20"/>
      <w:lang w:val="en-GB" w:eastAsia="zh-TW"/>
    </w:rPr>
  </w:style>
  <w:style w:type="paragraph" w:customStyle="1" w:styleId="84">
    <w:name w:val="22222"/>
    <w:basedOn w:val="1"/>
    <w:autoRedefine/>
    <w:qFormat/>
    <w:uiPriority w:val="0"/>
    <w:pPr>
      <w:spacing w:line="480" w:lineRule="exact"/>
      <w:ind w:firstLine="480" w:firstLineChars="200"/>
    </w:pPr>
    <w:rPr>
      <w:rFonts w:hAnsi="宋体"/>
      <w:sz w:val="24"/>
    </w:rPr>
  </w:style>
  <w:style w:type="paragraph" w:customStyle="1" w:styleId="85">
    <w:name w:val="表标题"/>
    <w:basedOn w:val="1"/>
    <w:autoRedefine/>
    <w:qFormat/>
    <w:uiPriority w:val="0"/>
    <w:pPr>
      <w:widowControl/>
      <w:snapToGrid w:val="0"/>
      <w:spacing w:before="120" w:afterLines="50"/>
      <w:ind w:firstLine="482"/>
      <w:jc w:val="center"/>
    </w:pPr>
    <w:rPr>
      <w:rFonts w:ascii="黑体" w:hAnsi="Gloucester MT Extra Condensed" w:eastAsia="黑体"/>
      <w:bCs/>
      <w:szCs w:val="21"/>
    </w:rPr>
  </w:style>
  <w:style w:type="paragraph" w:customStyle="1" w:styleId="86">
    <w:name w:val="图标标题"/>
    <w:basedOn w:val="1"/>
    <w:autoRedefine/>
    <w:qFormat/>
    <w:uiPriority w:val="0"/>
    <w:pPr>
      <w:jc w:val="center"/>
    </w:pPr>
    <w:rPr>
      <w:b/>
      <w:szCs w:val="21"/>
    </w:rPr>
  </w:style>
  <w:style w:type="paragraph" w:customStyle="1" w:styleId="87">
    <w:name w:val="表格文字（内）"/>
    <w:basedOn w:val="1"/>
    <w:autoRedefine/>
    <w:qFormat/>
    <w:uiPriority w:val="0"/>
    <w:pPr>
      <w:adjustRightInd w:val="0"/>
      <w:snapToGrid w:val="0"/>
      <w:jc w:val="center"/>
    </w:pPr>
    <w:rPr>
      <w:snapToGrid w:val="0"/>
      <w:szCs w:val="21"/>
    </w:rPr>
  </w:style>
  <w:style w:type="paragraph" w:customStyle="1" w:styleId="88">
    <w:name w:val="环评表格文字（内）"/>
    <w:basedOn w:val="89"/>
    <w:autoRedefine/>
    <w:qFormat/>
    <w:uiPriority w:val="0"/>
    <w:rPr>
      <w:snapToGrid w:val="0"/>
    </w:rPr>
  </w:style>
  <w:style w:type="paragraph" w:customStyle="1" w:styleId="89">
    <w:name w:val="环评表格文字（外）"/>
    <w:basedOn w:val="1"/>
    <w:autoRedefine/>
    <w:qFormat/>
    <w:uiPriority w:val="0"/>
    <w:pPr>
      <w:adjustRightInd w:val="0"/>
      <w:snapToGrid w:val="0"/>
      <w:jc w:val="center"/>
    </w:pPr>
    <w:rPr>
      <w:szCs w:val="21"/>
    </w:rPr>
  </w:style>
  <w:style w:type="paragraph" w:customStyle="1" w:styleId="90">
    <w:name w:val="中等深浅网格 21"/>
    <w:basedOn w:val="1"/>
    <w:next w:val="1"/>
    <w:autoRedefine/>
    <w:qFormat/>
    <w:uiPriority w:val="0"/>
    <w:pPr>
      <w:jc w:val="center"/>
    </w:pPr>
    <w:rPr>
      <w:szCs w:val="22"/>
    </w:rPr>
  </w:style>
  <w:style w:type="paragraph" w:customStyle="1" w:styleId="91">
    <w:name w:val="列出段落1"/>
    <w:basedOn w:val="1"/>
    <w:autoRedefine/>
    <w:qFormat/>
    <w:uiPriority w:val="0"/>
    <w:pPr>
      <w:ind w:firstLine="420" w:firstLineChars="200"/>
    </w:pPr>
    <w:rPr>
      <w:rFonts w:ascii="Calibri" w:hAnsi="Calibri"/>
      <w:szCs w:val="22"/>
    </w:rPr>
  </w:style>
  <w:style w:type="character" w:customStyle="1" w:styleId="92">
    <w:name w:val="font31"/>
    <w:basedOn w:val="31"/>
    <w:autoRedefine/>
    <w:qFormat/>
    <w:uiPriority w:val="0"/>
    <w:rPr>
      <w:rFonts w:hint="eastAsia" w:ascii="宋体" w:hAnsi="宋体" w:eastAsia="宋体" w:cs="宋体"/>
      <w:color w:val="000000"/>
      <w:sz w:val="28"/>
      <w:szCs w:val="28"/>
      <w:u w:val="none"/>
    </w:rPr>
  </w:style>
  <w:style w:type="character" w:customStyle="1" w:styleId="93">
    <w:name w:val="font11"/>
    <w:basedOn w:val="31"/>
    <w:autoRedefine/>
    <w:qFormat/>
    <w:uiPriority w:val="0"/>
    <w:rPr>
      <w:rFonts w:hint="default" w:ascii="Times New Roman" w:hAnsi="Times New Roman" w:cs="Times New Roman"/>
      <w:color w:val="000000"/>
      <w:sz w:val="28"/>
      <w:szCs w:val="28"/>
      <w:u w:val="none"/>
    </w:rPr>
  </w:style>
  <w:style w:type="character" w:customStyle="1" w:styleId="94">
    <w:name w:val="font101"/>
    <w:basedOn w:val="31"/>
    <w:autoRedefine/>
    <w:qFormat/>
    <w:uiPriority w:val="0"/>
    <w:rPr>
      <w:rFonts w:hint="default" w:ascii="Times New Roman" w:hAnsi="Times New Roman" w:cs="Times New Roman"/>
      <w:color w:val="000000"/>
      <w:sz w:val="28"/>
      <w:szCs w:val="28"/>
      <w:u w:val="none"/>
      <w:vertAlign w:val="superscript"/>
    </w:rPr>
  </w:style>
  <w:style w:type="paragraph" w:customStyle="1" w:styleId="95">
    <w:name w:val="正文1"/>
    <w:basedOn w:val="1"/>
    <w:autoRedefine/>
    <w:qFormat/>
    <w:uiPriority w:val="0"/>
    <w:pPr>
      <w:autoSpaceDE w:val="0"/>
      <w:autoSpaceDN w:val="0"/>
      <w:adjustRightInd w:val="0"/>
      <w:snapToGrid w:val="0"/>
      <w:spacing w:line="360" w:lineRule="auto"/>
      <w:ind w:firstLine="480" w:firstLineChars="200"/>
    </w:pPr>
    <w:rPr>
      <w:kern w:val="0"/>
      <w:sz w:val="24"/>
    </w:rPr>
  </w:style>
  <w:style w:type="paragraph" w:customStyle="1" w:styleId="96">
    <w:name w:val="表内容"/>
    <w:basedOn w:val="15"/>
    <w:autoRedefine/>
    <w:qFormat/>
    <w:uiPriority w:val="0"/>
    <w:pPr>
      <w:ind w:left="-30" w:leftChars="-30" w:right="-30" w:rightChars="-30"/>
      <w:jc w:val="center"/>
    </w:pPr>
    <w:rPr>
      <w:rFonts w:ascii="Times New Roman" w:hAnsi="Times New Roman" w:eastAsia="宋体"/>
      <w:szCs w:val="21"/>
    </w:rPr>
  </w:style>
  <w:style w:type="paragraph" w:customStyle="1" w:styleId="97">
    <w:name w:val="表格标题"/>
    <w:basedOn w:val="27"/>
    <w:autoRedefine/>
    <w:qFormat/>
    <w:uiPriority w:val="0"/>
    <w:pPr>
      <w:spacing w:after="0"/>
      <w:ind w:firstLine="0" w:firstLineChars="0"/>
      <w:jc w:val="center"/>
    </w:pPr>
    <w:rPr>
      <w:rFonts w:ascii="Times New Roman"/>
      <w:b/>
      <w:szCs w:val="21"/>
    </w:rPr>
  </w:style>
  <w:style w:type="paragraph" w:customStyle="1" w:styleId="98">
    <w:name w:val="表格内容"/>
    <w:basedOn w:val="86"/>
    <w:autoRedefine/>
    <w:qFormat/>
    <w:uiPriority w:val="0"/>
    <w:rPr>
      <w:b w:val="0"/>
      <w:szCs w:val="32"/>
    </w:rPr>
  </w:style>
  <w:style w:type="character" w:customStyle="1" w:styleId="99">
    <w:name w:val="font61"/>
    <w:basedOn w:val="31"/>
    <w:autoRedefine/>
    <w:qFormat/>
    <w:uiPriority w:val="0"/>
    <w:rPr>
      <w:rFonts w:hint="default" w:ascii="Times New Roman" w:hAnsi="Times New Roman" w:cs="Times New Roman"/>
      <w:color w:val="000000"/>
      <w:sz w:val="22"/>
      <w:szCs w:val="22"/>
      <w:u w:val="none"/>
    </w:rPr>
  </w:style>
  <w:style w:type="character" w:customStyle="1" w:styleId="100">
    <w:name w:val="font41"/>
    <w:basedOn w:val="31"/>
    <w:autoRedefine/>
    <w:qFormat/>
    <w:uiPriority w:val="0"/>
    <w:rPr>
      <w:rFonts w:hint="default" w:ascii="Times New Roman" w:hAnsi="Times New Roman" w:cs="Times New Roman"/>
      <w:color w:val="000000"/>
      <w:sz w:val="22"/>
      <w:szCs w:val="22"/>
      <w:u w:val="none"/>
    </w:rPr>
  </w:style>
  <w:style w:type="character" w:customStyle="1" w:styleId="101">
    <w:name w:val="font21"/>
    <w:basedOn w:val="31"/>
    <w:autoRedefine/>
    <w:qFormat/>
    <w:uiPriority w:val="0"/>
    <w:rPr>
      <w:rFonts w:hint="default" w:ascii="Times New Roman" w:hAnsi="Times New Roman" w:cs="Times New Roman"/>
      <w:color w:val="000000"/>
      <w:sz w:val="21"/>
      <w:szCs w:val="21"/>
      <w:u w:val="none"/>
      <w:vertAlign w:val="subscript"/>
    </w:rPr>
  </w:style>
  <w:style w:type="paragraph" w:customStyle="1" w:styleId="102">
    <w:name w:val="表头"/>
    <w:basedOn w:val="1"/>
    <w:autoRedefine/>
    <w:qFormat/>
    <w:uiPriority w:val="0"/>
    <w:pPr>
      <w:adjustRightInd w:val="0"/>
      <w:snapToGrid w:val="0"/>
      <w:spacing w:beforeLines="50"/>
      <w:jc w:val="center"/>
    </w:pPr>
    <w:rPr>
      <w:rFonts w:cs="宋体"/>
      <w:sz w:val="24"/>
      <w:szCs w:val="20"/>
    </w:rPr>
  </w:style>
  <w:style w:type="paragraph" w:customStyle="1" w:styleId="103">
    <w:name w:val="表1"/>
    <w:next w:val="1"/>
    <w:autoRedefine/>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104">
    <w:name w:val="正文4号"/>
    <w:link w:val="114"/>
    <w:autoRedefine/>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4"/>
      <w:sz w:val="24"/>
      <w:szCs w:val="24"/>
      <w:lang w:val="en-US" w:eastAsia="zh-CN" w:bidi="ar-SA"/>
    </w:rPr>
  </w:style>
  <w:style w:type="paragraph" w:customStyle="1" w:styleId="105">
    <w:name w:val="Table Text"/>
    <w:basedOn w:val="1"/>
    <w:link w:val="115"/>
    <w:autoRedefine/>
    <w:semiHidden/>
    <w:qFormat/>
    <w:uiPriority w:val="0"/>
    <w:rPr>
      <w:rFonts w:ascii="宋体" w:hAnsi="宋体" w:eastAsia="宋体" w:cs="宋体"/>
      <w:sz w:val="24"/>
      <w:szCs w:val="24"/>
      <w:lang w:val="en-US" w:eastAsia="en-US" w:bidi="ar-SA"/>
    </w:rPr>
  </w:style>
  <w:style w:type="character" w:customStyle="1" w:styleId="106">
    <w:name w:val="shenbao"/>
    <w:basedOn w:val="31"/>
    <w:autoRedefine/>
    <w:qFormat/>
    <w:uiPriority w:val="0"/>
    <w:rPr>
      <w:color w:val="EF6334"/>
    </w:rPr>
  </w:style>
  <w:style w:type="character" w:customStyle="1" w:styleId="107">
    <w:name w:val="checkbox"/>
    <w:basedOn w:val="31"/>
    <w:autoRedefine/>
    <w:qFormat/>
    <w:uiPriority w:val="0"/>
  </w:style>
  <w:style w:type="character" w:customStyle="1" w:styleId="108">
    <w:name w:val="chakan"/>
    <w:basedOn w:val="31"/>
    <w:autoRedefine/>
    <w:qFormat/>
    <w:uiPriority w:val="0"/>
    <w:rPr>
      <w:color w:val="0064EA"/>
    </w:rPr>
  </w:style>
  <w:style w:type="paragraph" w:customStyle="1" w:styleId="109">
    <w:name w:val="正文2"/>
    <w:basedOn w:val="1"/>
    <w:next w:val="1"/>
    <w:autoRedefine/>
    <w:qFormat/>
    <w:uiPriority w:val="0"/>
    <w:pPr>
      <w:adjustRightInd w:val="0"/>
      <w:snapToGrid w:val="0"/>
      <w:spacing w:line="360" w:lineRule="auto"/>
      <w:ind w:firstLine="560" w:firstLineChars="200"/>
    </w:pPr>
    <w:rPr>
      <w:rFonts w:cs="宋体"/>
      <w:sz w:val="28"/>
      <w:szCs w:val="28"/>
    </w:rPr>
  </w:style>
  <w:style w:type="paragraph" w:customStyle="1" w:styleId="110">
    <w:name w:val="..表格内容"/>
    <w:autoRedefine/>
    <w:qFormat/>
    <w:uiPriority w:val="0"/>
    <w:pPr>
      <w:widowControl w:val="0"/>
      <w:jc w:val="center"/>
    </w:pPr>
    <w:rPr>
      <w:rFonts w:ascii="Times New Roman" w:hAnsi="宋体" w:eastAsia="宋体" w:cs="Times New Roman"/>
      <w:sz w:val="21"/>
      <w:szCs w:val="24"/>
      <w:lang w:val="en-US" w:eastAsia="zh-CN" w:bidi="ar-SA"/>
    </w:rPr>
  </w:style>
  <w:style w:type="paragraph" w:customStyle="1" w:styleId="111">
    <w:name w:val="1正文"/>
    <w:basedOn w:val="1"/>
    <w:autoRedefine/>
    <w:qFormat/>
    <w:uiPriority w:val="0"/>
    <w:pPr>
      <w:widowControl/>
    </w:pPr>
    <w:rPr>
      <w:kern w:val="0"/>
      <w:szCs w:val="20"/>
      <w:lang w:val="en-GB"/>
    </w:rPr>
  </w:style>
  <w:style w:type="paragraph" w:customStyle="1" w:styleId="112">
    <w:name w:val="表格文字."/>
    <w:basedOn w:val="1"/>
    <w:autoRedefine/>
    <w:qFormat/>
    <w:uiPriority w:val="0"/>
    <w:pPr>
      <w:adjustRightInd w:val="0"/>
      <w:snapToGrid w:val="0"/>
      <w:spacing w:line="240" w:lineRule="auto"/>
      <w:ind w:firstLine="0" w:firstLineChars="0"/>
      <w:jc w:val="center"/>
    </w:pPr>
    <w:rPr>
      <w:rFonts w:asciiTheme="minorHAnsi" w:hAnsiTheme="minorHAnsi" w:eastAsiaTheme="minorEastAsia" w:cstheme="minorBidi"/>
      <w:color w:val="000000"/>
      <w:sz w:val="21"/>
      <w:szCs w:val="22"/>
    </w:rPr>
  </w:style>
  <w:style w:type="character" w:customStyle="1" w:styleId="113">
    <w:name w:val="不明显强调1"/>
    <w:autoRedefine/>
    <w:qFormat/>
    <w:uiPriority w:val="19"/>
    <w:rPr>
      <w:i/>
      <w:iCs/>
      <w:color w:val="808080"/>
    </w:rPr>
  </w:style>
  <w:style w:type="character" w:customStyle="1" w:styleId="114">
    <w:name w:val="正文4号 Char"/>
    <w:link w:val="104"/>
    <w:autoRedefine/>
    <w:qFormat/>
    <w:uiPriority w:val="0"/>
    <w:rPr>
      <w:rFonts w:ascii="Times New Roman" w:hAnsi="Times New Roman" w:eastAsia="宋体" w:cs="Times New Roman"/>
      <w:kern w:val="24"/>
      <w:sz w:val="24"/>
      <w:szCs w:val="24"/>
      <w:lang w:val="en-US" w:eastAsia="zh-CN" w:bidi="ar-SA"/>
    </w:rPr>
  </w:style>
  <w:style w:type="character" w:customStyle="1" w:styleId="115">
    <w:name w:val="Table Text Char"/>
    <w:link w:val="105"/>
    <w:autoRedefine/>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jpeg"/><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64</Pages>
  <Words>37542</Words>
  <Characters>43051</Characters>
  <Lines>325</Lines>
  <Paragraphs>91</Paragraphs>
  <TotalTime>39</TotalTime>
  <ScaleCrop>false</ScaleCrop>
  <LinksUpToDate>false</LinksUpToDate>
  <CharactersWithSpaces>43317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2021-04-19T13:48:00Z</dcterms:created>
  <dc:creator>lhj</dc:creator>
  <cp:lastModifiedBy>y.先生</cp:lastModifiedBy>
  <cp:lastPrinted>2022-10-14T03:24:00Z</cp:lastPrinted>
  <dcterms:modified xsi:type="dcterms:W3CDTF">2024-06-13T14:08:38Z</dcterms:modified>
  <dc:title>附件2</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8880BC0F60CF40A18BA2A85074E0531A_13</vt:lpwstr>
  </property>
</Properties>
</file>